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5.5 Grensesnitt </w:t>
      </w:r>
    </w:p>
    <w:p>
      <w:pPr>
        <w:pStyle w:val="Normal"/>
      </w:pPr>
      <w:r>
        <w:t>Visma Flyt Barnevern har et responsivt grensesnitt og vil fungere med all funksjonalitet på mobile enheter. Dette forutsetter at disse er sikret på en tilfredsstillende måte hos kunden.</w:t>
      </w:r>
      <w:r>
        <w:rPr/>
        <w:t>Visma Flyt Barnevern har et responsivt grensesnitt og vil fungere med all funksjonalitet på mobile enheter. Dette forutsetter at disse er sikret på en tilfredsstillende måte hos kunden.</w:t>
      </w:r>
    </w:p>
    <w:p>
      <w:pPr>
        <w:pStyle w:val="Normal"/>
      </w:pPr>
      <w:r/>
      <w:r>
        <w:rPr/>
      </w:r>
    </w:p>
    <w:p>
      <w:pPr>
        <w:pStyle w:val="Normal"/>
      </w:pPr>
      <w:r>
        <w:br/>
        <w:t>Bilde: Eksempel på Flyt Barnevern vist på Ipad.</w:t>
      </w:r>
      <w:r>
        <w:rPr/>
      </w:r>
      <w:r>
        <w:rPr/>
        <w:br/>
      </w:r>
      <w:r>
        <w:rPr/>
        <w:t>Bilde: Eksempel på Flyt Barnevern vist på Ipad.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I all kommunikasjon direkte med innbyggere benyttes nasjonale komponenter som er utformet etter lovgivning om universell utforming. </w:t>
      </w:r>
      <w:r>
        <w:rPr/>
        <w:t xml:space="preserve">I all kommunikasjon direkte med innbyggere benyttes nasjonale komponenter som er utformet etter lovgivning om universell utforming.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