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6.6 Plan</w:t>
      </w:r>
    </w:p>
    <w:p>
      <w:pPr>
        <w:pStyle w:val="Normal"/>
      </w:pPr>
      <w:r>
        <w:t xml:space="preserve">Visma Flyt Barnevern har støtte for opprettelse av alle lovpålagte, samt interne handlingsplaner. Ved opprettelse av en plan vil saksbehandler få oversikt over barnets tiltak. Det er også mulighet for å opprette annen dokumentasjon og utføre evaluering. </w:t>
      </w:r>
      <w:r>
        <w:rPr/>
        <w:t xml:space="preserve">Visma Flyt Barnevern har støtte for opprettelse av alle lovpålagte, samt interne handlingsplaner. Ved opprettelse av en plan vil saksbehandler få oversikt over barnets tiltak. Det er også mulighet for å opprette annen dokumentasjon og utføre evaluering. </w:t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 xml:space="preserve">Bilde: eksempel på opprettelse av en tiltaksplan. </w:t>
      </w:r>
      <w:r>
        <w:rPr/>
        <w:t xml:space="preserve">Bilde: eksempel på opprettelse av en tiltaksplan.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På planen er det også mulig å lese og eventuelt åpne tilhørende evalueringer. Dette gjelder også fra evaluering og tilbake til planen. </w:t>
      </w:r>
      <w:r>
        <w:rPr/>
        <w:t xml:space="preserve">På planen er det også mulig å lese og eventuelt åpne tilhørende evalueringer. Dette gjelder også fra evaluering og tilbake til planen.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