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8.3 Lønn</w:t>
      </w:r>
    </w:p>
    <w:p>
      <w:pPr>
        <w:pStyle w:val="Normal"/>
      </w:pPr>
      <w:r>
        <w:t xml:space="preserve">Lønnsutbetalinger registreres som en månedslønn for hver ansatt/oppdragstaker knyttet til et tiltak. Månedslønnen vil opprettes med transaksjoner som skal, eller kan, betales ved forfall, f.eks godtgjøring, utlegg, km mm. </w:t>
      </w:r>
      <w:r>
        <w:rPr/>
        <w:t xml:space="preserve">Lønnsutbetalinger registreres som en månedslønn for hver ansatt/oppdragstaker knyttet til et tiltak. Månedslønnen vil opprettes med transaksjoner som skal, eller kan, betales ved forfall, f.eks godtgjøring, utlegg, km mm.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Denne månedslønnen danner så grunnlag for en plan dersom det er ønskelig. Eller den kan kopieres basert på nye, mottatte timelister. </w:t>
      </w:r>
      <w:r>
        <w:rPr/>
        <w:t xml:space="preserve">Denne månedslønnen danner så grunnlag for en plan dersom det er ønskelig. Eller den kan kopieres basert på nye, mottatte timelister.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Avtalen vil foreligge som et dokument på barnet som kan sendes for elektronisk signering. </w:t>
      </w:r>
      <w:r>
        <w:rPr/>
        <w:t xml:space="preserve">Avtalen vil foreligge som et dokument på barnet som kan sendes for elektronisk signering. </w:t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