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x6wa9ljlgy9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9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5"/>
        <w:gridCol w:w="8055"/>
        <w:tblGridChange w:id="0">
          <w:tblGrid>
            <w:gridCol w:w="2535"/>
            <w:gridCol w:w="8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Durante el desarrollo de la Fase 2 del proyecto Sistema de Gestión Atilson Cargo SpA (SGAC), el equipo se enfocó en consolidar las funcionalidades esenciales del núcleo transaccional, comercial y financiero del software. Se implementaron y validaron mediante la metodología Kanban continua un conjunto de historias de usuario agrupadas en Releases (Release 1 y Release 2).</w:t>
            </w:r>
          </w:p>
          <w:p w:rsidR="00000000" w:rsidDel="00000000" w:rsidP="00000000" w:rsidRDefault="00000000" w:rsidRPr="00000000" w14:paraId="0000000F">
            <w:pPr>
              <w:spacing w:after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 las principales actividades ejecutadas destacan: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 de Autenticación y Seguridad: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Implementación de inicio de sesión con hashing seguro SHA-256/Identity y esquema de Control de Acceso Basado en Roles (RBAC).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 Operativo: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Registro y listado general de operaciones con filtros dinámicos en tiempo real, junto con la lógica de inspección fitosanitaria SAG (Planta vs. Puerto).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 Comercial y Financiero: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Edición de tarifas comerciales con observaciones e historial de modificaciones en ventana modal para auditoría. Reglas tributarias automáticas por concepto (IVA/Exento, N° BL, Factura y OC).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 de Alertas e Integraciones: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Desarrollo de alertas visuales en rojo para rentabilidades negativas o discrepancias de montos en finanzas, integración de servicio backend con la API oficial del Banco Central de Chile para el tipo de cambio diario (USD/UF), y generación de reservas en formato PDF corporativo.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Portal de Clientes: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Inclusión preliminar de formularios de solicitud de cotización desde el Portal de Clientes. Portal de Clientes con falta de ajustes de conexión con correos de prueba.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Sin ajustes. Se mantienen los objetivos generales y específicos definidos en la Fase 1. 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ajustes. Se mantiene el marco de trabajo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Kanban Continuo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(18 semanas) con tablero Trello para el flujo de trabajo 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80" w:before="0"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1j9gq6uiiov8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Evidencias de avance (Actualizado)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 de las evidencias presentadas: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5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Tablero Kanban de Trello (Release 1 y 2): Registro visual del avance de tarjetas terminadas en la columna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(Autenticación, RBAC, Lógica SAG, Reglas Tributarias, Alertas de Rentabilidad, API Banco Central, Generador PDF).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5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Capturas de Pantalla de la Interfaz Web (SGAC): Imágenes de la aplicación en ejecución local y desplegada en el VPS, donde se evidencian las vistas del sistema en producción.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5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Fuente y Base de Datos: Repositorio privado en GitHub desacoplado en .NET 8 y scripts DDL/Data de SQL Server 2022 con datos ofuscados.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Justificación de las capturas de la página web: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capturas de pantalla de la web permiten validar visualmente que el software no solo está codificado en el backend, sino que cuenta con una interfaz funcional (UI/UX) que cumple con la paleta de colores corporativa (#901090), formularios responsivos, tablas filtrables en tiempo real y componentes interactivos para el usuario final y la gerencia.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Resguardo de la Calidad: La calidad del desarrollo web se resguardó mediante: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5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Maquetación limpia en Razor Pages y Bootstrap 5 adaptada a prototipos de Figma.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5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datos totalmente ofuscados en las pantallas para proteger la confidencialidad de Atilson Cargo SpA.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5"/>
              </w:numPr>
              <w:spacing w:after="24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de formularios y retroalimentación mediante alertas visuales para el usuario.</w:t>
            </w:r>
          </w:p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spacing w:before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y9b82a54tmb" w:id="2"/>
            <w:bookmarkEnd w:id="2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Anexo: Capturas de Pantalla de la Plataforma Web (SGAC)</w:t>
            </w:r>
          </w:p>
          <w:p w:rsidR="00000000" w:rsidDel="00000000" w:rsidP="00000000" w:rsidRDefault="00000000" w:rsidRPr="00000000" w14:paraId="00000025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5161598" cy="2678556"/>
                  <wp:effectExtent b="0" l="0" r="0" t="0"/>
                  <wp:docPr id="3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598" cy="26785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Formulario web de inicio de sesión desarrollado en Razor Pages con estilos institucionales morados (#901090). Muestra la validación de campos con hashing seguro y el esquema de redirección según el rol de usuario.</w:t>
            </w:r>
          </w:p>
          <w:p w:rsidR="00000000" w:rsidDel="00000000" w:rsidP="00000000" w:rsidRDefault="00000000" w:rsidRPr="00000000" w14:paraId="00000027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981575" cy="1181100"/>
                  <wp:effectExtent b="0" l="0" r="0" t="0"/>
                  <wp:docPr id="2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Tabla responsiva de órdenes de transporte que permite paginación e integración de filtros dinámicos en tiempo real por cliente, estado y fecha, junto con los indicadores visuales de color por estado operativo.</w:t>
            </w:r>
          </w:p>
          <w:p w:rsidR="00000000" w:rsidDel="00000000" w:rsidP="00000000" w:rsidRDefault="00000000" w:rsidRPr="00000000" w14:paraId="00000029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981575" cy="3733800"/>
                  <wp:effectExtent b="0" l="0" r="0" t="0"/>
                  <wp:docPr id="3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981575" cy="3937000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393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981575" cy="3441700"/>
                  <wp:effectExtent b="0" l="0" r="0" t="0"/>
                  <wp:docPr id="3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344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981575" cy="3721100"/>
                  <wp:effectExtent b="0" l="0" r="0" t="0"/>
                  <wp:docPr id="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372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981575" cy="3746500"/>
                  <wp:effectExtent b="0" l="0" r="0" t="0"/>
                  <wp:docPr id="3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Vista de edición u orden operativa donde se visualizan los checkboxes condicionales para la "Inspección SAG en Planta ($0 cost)" y "SAG Fuera de Planta (Puerto)", transmitiendo la tarifa correspondiente a Finanzas.</w:t>
            </w:r>
          </w:p>
          <w:p w:rsidR="00000000" w:rsidDel="00000000" w:rsidP="00000000" w:rsidRDefault="00000000" w:rsidRPr="00000000" w14:paraId="0000002B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981575" cy="1663700"/>
                  <wp:effectExtent b="0" l="0" r="0" t="0"/>
                  <wp:docPr id="3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Pantalla del módulo financiero exhibiendo el desglose con reglas tributarias (Flete exento, Terrestre con IVA) y las alertas destacadas en rojo para bookings con montos modificados o rentabilidades bajo el umbral aceptable.</w:t>
            </w:r>
          </w:p>
          <w:p w:rsidR="00000000" w:rsidDel="00000000" w:rsidP="00000000" w:rsidRDefault="00000000" w:rsidRPr="00000000" w14:paraId="0000002D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981575" cy="4724400"/>
                  <wp:effectExtent b="0" l="0" r="0" t="0"/>
                  <wp:docPr id="3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472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Vista simplificada del Portal de Clientes con el formulario para solicitar nuevas cotizaciones.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-666" w:tblpY="11640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515"/>
        <w:gridCol w:w="840"/>
        <w:gridCol w:w="1275"/>
        <w:gridCol w:w="1275"/>
        <w:gridCol w:w="1275"/>
        <w:gridCol w:w="1425"/>
        <w:gridCol w:w="855"/>
        <w:tblGridChange w:id="0">
          <w:tblGrid>
            <w:gridCol w:w="1335"/>
            <w:gridCol w:w="1515"/>
            <w:gridCol w:w="840"/>
            <w:gridCol w:w="1275"/>
            <w:gridCol w:w="1275"/>
            <w:gridCol w:w="1275"/>
            <w:gridCol w:w="1425"/>
            <w:gridCol w:w="8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Ajustes</w:t>
            </w:r>
          </w:p>
        </w:tc>
      </w:tr>
      <w:tr>
        <w:trPr>
          <w:cantSplit w:val="0"/>
          <w:trHeight w:val="307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Señala los ajustes o reformulaciones que has realizado.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y Control de Acceso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Autenticación con SHA-256 / Identity y Control de Acceso Basado en Roles (RBAC)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.NET 8, C#, SQL Server 2022, Visual Studio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Gajardo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integración con Identity facilitó la asignación rápida de roles según el perfil del usuario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Frontend y Módulo Comercial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Edición de Tarifas Comerciales con Observaciones y Buscadores Predictivos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Razor Pages, Bootstrap 5, JavaScript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1.5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Benjamín Cona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estandarización de nombres en mayúsculas evitó inconsistencias y duplicidades en catálogos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</w:p>
        </w:tc>
      </w:tr>
      <w:tr>
        <w:trPr>
          <w:cantSplit w:val="0"/>
          <w:trHeight w:val="243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Backend y Operaciones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Programación de la Lógica de Inspección SAG (Planta vs. Puerto) y Listado General de Operaciones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.NET 8, EF Core, SQL Server 2022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Nelson Mellado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Requirió coordinar la lógica de cobro $0 en planta versus tarifa aplicada en puerto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de Auditoría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Historial de Modificaciones mediante Ventana Modal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JavaScript, Razor Pages, SQL Server (Logs)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Benjamín Cona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logró reutilizar el componente modal en distintas tablas del sistema de forma eficiente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Finanzas y Reglas Tributarias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Programar Reglas Tributarias por Concepto (Flete, Terrestre, DUS, ISPS) y Alertas Visuales de Rentabilidad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.NET 8, EF Core, C#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Gallardo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Complejidad en el cálculo dinámico del recargo ISPS según el terminal portuario (STI vs DPW/TPS)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Integraciones Externas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con API del Banco Central de Chile para USD/UF y Generación de PDF de Reservas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 API, BackgroundService .NET 8, QuestPDF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1.5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Nelson Mellado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añadió un mecanismo de fallback manual por si la API del Banco Central no responde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Inteligencia de Negocios y Dashboard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Backend y Maquetación del Dashboard Gerencial (EP-05)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Chart.js / ApexCharts, SQL Server (Queries agregadas)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Gallardo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requiere ajustar pequeños detalles finales de renderizado gráfico en tarjetas de resumen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Portal de Clientes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 de Solicitud de Nueva Cotización desde el Portal de Clientes (EP-06)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Razor Pages, HTML5, .NET 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Benjamín Cona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 ajustar el envío automatizado de notificaciones de correo electrónico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0244931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-560.9999999999997" w:tblpY="0"/>
            <w:tblW w:w="9498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3. Ajustes a partir del monitoreo 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92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    </w:r>
              </w:p>
            </w:tc>
          </w:tr>
        </w:tbl>
      </w:sdtContent>
    </w:sdt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Uso de la Metodología Kanban: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visibilidad constante del tablero Trello facilitó la división limpia del trabajo entre los tres integrantes.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Uso de EF Core Code-First: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Permitió realizar iteraciones ágiles sobre el modelo de datos sin perder la consistencia relacional.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Modularización Multicapa: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Separar la lógica de presentación (Razor Pages) de la capa de servicios simplificó la detección y corrección de bugs.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Variabilidad de las reglas tributarias logísticas: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Conceptos como el ISPS variaban en monto y tipo de moneda según el terminal portuario (STI vs. DPW/TPS).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 tomada: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centralizó la lógica en un servicio de reglas de negocio en C# que convierte automáticamente a CLP usando el tipo de cambio del Banco Central.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Riesgo de caídas en servicios externos (API Banco Central):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 tomada: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implementó una rutina de contingencia (fallback manual) para permitir que el operador ingrese el tipo de cambio del día si la API externa no 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Portal de Clientes :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4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Motivo: Actividad se encuentra catalogada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"En curso"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4"/>
              </w:numPr>
              <w:spacing w:after="24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Estrategia de avance: Durante el próximo avance se completarán los detalles estéticos y se conectarán las alertas del portal de clientes sin alterar el calendario general de entregas. Y se conectará a la brevedad los correos de prueba para continuar con la opción de Solicitar una nueva cotización.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D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5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eader" Target="header1.xml"/><Relationship Id="rId7" Type="http://schemas.openxmlformats.org/officeDocument/2006/relationships/customXml" Target="../customXML/item1.xml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8mm9ayOp63CBLl60Kk6IxxDXZg==">CgMxLjAaHwoBMBIaChgICVIUChJ0YWJsZS5iaTFvNnp3ZmZvYW0yDmgueDZ3YTlsamxneTlkMg5oLjFqOWdxNnVpaW92ODIOaC4zeTliODJhNTR0bWI4AHIhMXB4VmRzZlI1VzVQTlE5a0pQcklLMm92SzJ6SUpORTV5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