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Qualidade de vinhos</w:t>
      </w:r>
    </w:p>
    <w:p>
      <w:pPr>
        <w:spacing w:after="160"/>
      </w:pPr>
      <w:r>
        <w:rPr>
          <w:color w:val="464E56"/>
          <w:sz w:val="22"/>
        </w:rPr>
        <w:t>Relatório do projeto de Aprendizado de Máquina</w:t>
      </w:r>
    </w:p>
    <w:p>
      <w:r>
        <w:t>Construímos um regressor para estimar a nota sensorial de uma amostra e apoiar a ordem de degustação. A floresta aleatória reduziu o MAE de teste de 0,643 na referência para 0,529. O resultado apoia triagem humana, mas não sustenta aprovação automática, inferência causal ou transferência para outros contextos sem validação.</w:t>
      </w:r>
    </w:p>
    <w:p>
      <w:pPr>
        <w:pStyle w:val="Heading1"/>
      </w:pPr>
      <w:r>
        <w:t>1 Objetivo da modelagem</w:t>
      </w:r>
    </w:p>
    <w:p>
      <w:r>
        <w:t>A pergunta é: qual nota quality uma amostra receberia a partir de 11 medidas físico-químicas e do tipo tinto ou branco? O modelo devolve um número, como 6,3, portanto a tarefa é de regressão. A saída ordena amostras para uma segunda avaliação; a nota final continua sob responsabilidade de degustadores.</w:t>
      </w:r>
    </w:p>
    <w:p>
      <w:pPr>
        <w:pStyle w:val="Heading1"/>
      </w:pPr>
      <w:r>
        <w:t>2 Dados utilizados</w:t>
      </w:r>
    </w:p>
    <w:p>
      <w:r>
        <w:t>Usamos os arquivos públicos winequality-red.csv e winequality-white.csv do UCI Wine Quality. Cada linha representa uma amostra. Acrescentamos wine_type antes de unir os arquivos.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088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1152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144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Colunas</w:t>
            </w:r>
          </w:p>
        </w:tc>
        <w:tc>
          <w:tcPr>
            <w:tcW w:type="dxa" w:w="482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Arquivos originais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6.497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12 + tipo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preservar para auditoria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Após duplicatas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5.320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13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remover 1.177 repetições completas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Desenvolvimento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4.256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12 entradas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seleção e ajuste</w:t>
            </w:r>
          </w:p>
        </w:tc>
      </w:tr>
      <w:tr>
        <w:tc>
          <w:tcPr>
            <w:tcW w:type="dxa" w:w="2088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Teste final</w:t>
            </w:r>
          </w:p>
        </w:tc>
        <w:tc>
          <w:tcPr>
            <w:tcW w:type="dxa" w:w="1152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1.064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12 entradas</w:t>
            </w:r>
          </w:p>
        </w:tc>
        <w:tc>
          <w:tcPr>
            <w:tcW w:type="dxa" w:w="4824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usar uma vez após as escolhas</w:t>
            </w:r>
          </w:p>
        </w:tc>
      </w:tr>
    </w:tbl>
    <w:p>
      <w:pPr>
        <w:spacing w:after="0"/>
      </w:pPr>
    </w:p>
    <w:p>
      <w:r>
        <w:t>A auditoria não encontrou ausências, textos vazios, infinitos ou perfis com entradas iguais e notas diferentes. As notas observadas vão de 3 a 9, e 76,6% dos casos têm nota 5 ou 6. Como a base não possui identificador de amostra, a remoção de duplicatas é uma escolha de modelagem, não a prova de erro no dado.</w:t>
      </w:r>
    </w:p>
    <w:p>
      <w:r>
        <w:br w:type="page"/>
      </w:r>
    </w:p>
    <w:p>
      <w:pPr>
        <w:pStyle w:val="Heading1"/>
      </w:pPr>
      <w:r>
        <w:t>3 Desempenho e comparação</w:t>
      </w:r>
    </w:p>
    <w:p>
      <w:r>
        <w:t>Reservamos 20% para o teste com estratificação e random_state 42. Nos 80% de desenvolvimento, todos os modelos usaram as mesmas cinco dobras de KFold embaralhado. O MAE, em pontos de nota, foi a métrica principal. RMSE e R² complementaram a análise.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3168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MAE VC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Faixa VC</w:t>
            </w:r>
          </w:p>
        </w:tc>
        <w:tc>
          <w:tcPr>
            <w:tcW w:type="dxa" w:w="144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MAE teste</w:t>
            </w:r>
          </w:p>
        </w:tc>
        <w:tc>
          <w:tcPr>
            <w:tcW w:type="dxa" w:w="122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R² teste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Referência (mediana)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0.643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0.626 a 0.657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0.643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-0.053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Regressão linear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0.548 a 0.585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0.566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0.313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k-NN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0.542 a 0.562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0.552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0.351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Árvore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0.566 a 0.619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0.572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0.298</w:t>
            </w:r>
          </w:p>
        </w:tc>
      </w:tr>
      <w:t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6"/>
              </w:rPr>
              <w:t>Floresta aleatória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0.521 a 0.547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0.529</w:t>
            </w:r>
          </w:p>
        </w:tc>
        <w:tc>
          <w:tcPr>
            <w:tcW w:type="dxa" w:w="12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6"/>
              </w:rPr>
              <w:t>0.396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7759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_valid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775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Comparação definida antes de abrir o teste final</w:t>
      </w:r>
    </w:p>
    <w:p>
      <w:r>
        <w:t>A floresta com 350 árvores e max_features igual a 0,7 teve o menor MAE médio de validação e foi escolhida antes do teste. No teste, seu MAE foi 0.529, o RMSE 0.684 e o R² 0.396. A redução relativa do MAE contra a referência foi 17.7%.</w:t>
      </w:r>
    </w:p>
    <w:p>
      <w:r>
        <w:t>Na árvore, a profundidade 5 minimizou o MAE de validação. Em profundidades maiores, o erro de treino continuou caindo e o de validação subiu, padrão de sobreajuste.</w:t>
      </w:r>
    </w:p>
    <w:p>
      <w:r>
        <w:br w:type="page"/>
      </w:r>
    </w:p>
    <w:p>
      <w:pPr>
        <w:pStyle w:val="Heading1"/>
      </w:pPr>
      <w:r>
        <w:t>4 Uso pretendido</w:t>
      </w:r>
    </w:p>
    <w:p>
      <w:r>
        <w:t>A decisão proposta é priorizar amostras para degustação especializada. Definimos como interesse uma nota real de pelo menos 7. Com previsões fora da dobra, escolhemos o maior corte em décimos que preservou sensibilidade mínima de 75% no desenvolvimento: 6,0.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37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Métrica de triagem no teste</w:t>
            </w:r>
          </w:p>
        </w:tc>
        <w:tc>
          <w:tcPr>
            <w:tcW w:type="dxa" w:w="144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5112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Leitura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Sensibilidade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81.7%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165 de 202 vinhos 7+ recuperados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Precisão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44.7%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aproximadamente 45 de cada 100 selecionados são 7+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F1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0.578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equilíbrio entre precisão e sensibilidade</w:t>
            </w:r>
          </w:p>
        </w:tc>
      </w:tr>
      <w:tr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Volume</w:t>
            </w:r>
          </w:p>
        </w:tc>
        <w:tc>
          <w:tcPr>
            <w:tcW w:type="dxa" w:w="1440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369 de 1064</w:t>
            </w:r>
          </w:p>
        </w:tc>
        <w:tc>
          <w:tcPr>
            <w:tcW w:type="dxa" w:w="5112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34,7% seguem para degustação prioritária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36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_cor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3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 Corte escolhido somente com previsões do desenvolvimento</w:t>
      </w:r>
    </w:p>
    <w:p>
      <w:r>
        <w:t>A política favorece não perder bons candidatos. No teste, 37 vinhos com nota 7 ou maior ficaram fora da seleção e 204 amostras selecionadas não eram 7+. Se a degustação for cara ou o painel tiver pouca capacidade, o corte deve subir e ser validado em uma nova reserva; o teste atual não pode servir para recalibrar esta mesma avaliação.</w:t>
      </w:r>
    </w:p>
    <w:p>
      <w:r>
        <w:br w:type="page"/>
      </w:r>
    </w:p>
    <w:p>
      <w:pPr>
        <w:pStyle w:val="Heading1"/>
      </w:pPr>
      <w:r>
        <w:t>5 Limitações</w:t>
      </w:r>
    </w:p>
    <w:p>
      <w:r>
        <w:t>O modelo prevê perto do centro da distribuição e erra mais nos extremos. As notas 3 e 9 têm apenas 6 e 1 casos no teste; seus MAEs não são estimativas estáveis. O MAE foi 0,453 em tintos (n=267) e 0,554 em brancos (n=797), diferença que deve ser monitorada em novos dados.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142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s_grup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4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3 Erro no teste por nota e por tipo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5472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Variável</w:t>
            </w:r>
          </w:p>
        </w:tc>
        <w:tc>
          <w:tcPr>
            <w:tcW w:type="dxa" w:w="302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Aumento do MAE ao embaralhar</w:t>
            </w:r>
          </w:p>
        </w:tc>
      </w:tr>
      <w:tr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alcohol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0.137</w:t>
            </w:r>
          </w:p>
        </w:tc>
      </w:tr>
      <w:tr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volatile acidity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0.057</w:t>
            </w:r>
          </w:p>
        </w:tc>
      </w:tr>
      <w:tr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free sulfur dioxide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0.038</w:t>
            </w:r>
          </w:p>
        </w:tc>
      </w:tr>
      <w:tr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sulphates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0.021</w:t>
            </w:r>
          </w:p>
        </w:tc>
      </w:tr>
      <w:tr>
        <w:tc>
          <w:tcPr>
            <w:tcW w:type="dxa" w:w="547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total sulfur dioxide</w:t>
            </w:r>
          </w:p>
        </w:tc>
        <w:tc>
          <w:tcPr>
            <w:tcW w:type="dxa" w:w="30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0.015</w:t>
            </w:r>
          </w:p>
        </w:tc>
      </w:tr>
    </w:tbl>
    <w:p>
      <w:pPr>
        <w:spacing w:after="0"/>
      </w:pPr>
    </w:p>
    <w:p>
      <w:r>
        <w:t>Álcool, acidez volátil e dióxido de enxofre livre produziram os maiores aumentos de MAE na importância por permutação. Esse resultado descreve dependência preditiva neste modelo e nesta amostra; não prova que intervenções nessas variáveis causariam uma nota diferente.</w:t>
      </w:r>
    </w:p>
    <w:p>
      <w:r>
        <w:t>Outras limitações incluem avaliação sensorial subjetiva, ausência de safra, produtor, variedade, preço e armazenamento, origem restrita aos vinhos estudados e possível exclusão de observações legítimas ao remover duplicatas.</w:t>
      </w:r>
    </w:p>
    <w:p>
      <w:r>
        <w:br w:type="page"/>
      </w:r>
    </w:p>
    <w:p>
      <w:pPr>
        <w:pStyle w:val="Heading1"/>
      </w:pPr>
      <w:r>
        <w:t>6 Restrições de uso</w:t>
      </w:r>
    </w:p>
    <w:p>
      <w:pPr>
        <w:pStyle w:val="ListBullet"/>
      </w:pPr>
      <w:r>
        <w:t>Não substituir degustadores, certificação ou revisão humana.</w:t>
      </w:r>
    </w:p>
    <w:p>
      <w:pPr>
        <w:pStyle w:val="ListBullet"/>
      </w:pPr>
      <w:r>
        <w:t>Não aprovar ou rejeitar lotes automaticamente e não inferir segurança sanitária ou preço.</w:t>
      </w:r>
    </w:p>
    <w:p>
      <w:pPr>
        <w:pStyle w:val="ListBullet"/>
      </w:pPr>
      <w:r>
        <w:t>Não interpretar importância ou coeficientes como relações causais nem orientar alterações químicas com base neles.</w:t>
      </w:r>
    </w:p>
    <w:p>
      <w:pPr>
        <w:pStyle w:val="ListBullet"/>
      </w:pPr>
      <w:r>
        <w:t>Não aplicar a outras regiões, variedades, safras, períodos ou laboratórios sem validação externa e monitoramento.</w:t>
      </w:r>
    </w:p>
    <w:p>
      <w:pPr>
        <w:pStyle w:val="Heading2"/>
      </w:pPr>
      <w:r>
        <w:t>Reprodução e controle de vazamento</w:t>
      </w:r>
    </w:p>
    <w:p>
      <w:r>
        <w:t>O notebook completo usa os CSVs locais, random_state 42 e as mesmas cinco dobras para todos os modelos. Quality fica fora das entradas; as duplicatas saem antes da divisão; codificação e escala aprendem dentro do pipeline; modelo e corte são registrados antes do teste. O teste final aparece uma vez e não altera as escolhas.</w:t>
      </w:r>
    </w:p>
    <w:p>
      <w:pPr>
        <w:pStyle w:val="Heading2"/>
      </w:pPr>
      <w:r>
        <w:t>Responsabilidades para a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662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Seções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Integrante 1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1 Objetivo e 6 Restrições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Integrante 2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2 Dados utilizados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Integrante 3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3 Desempenho e 5 Limitações</w:t>
            </w:r>
          </w:p>
        </w:tc>
      </w:tr>
      <w:tr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center"/>
            </w:pPr>
            <w:r>
              <w:rPr>
                <w:color w:val="000000"/>
                <w:sz w:val="17"/>
              </w:rPr>
              <w:t>Integrante 4</w:t>
            </w:r>
          </w:p>
        </w:tc>
        <w:tc>
          <w:tcPr>
            <w:tcW w:type="dxa" w:w="6624"/>
            <w:tcMar>
              <w:top w:w="70" w:type="dxa"/>
              <w:start w:w="90" w:type="dxa"/>
              <w:bottom w:w="70" w:type="dxa"/>
              <w:end w:w="90" w:type="dxa"/>
            </w:tcMar>
            <w:shd w:fill="EEF4F8"/>
            <w:vAlign w:val="center"/>
          </w:tcPr>
          <w:p>
            <w:pPr>
              <w:jc w:val="left"/>
            </w:pPr>
            <w:r>
              <w:rPr>
                <w:color w:val="000000"/>
                <w:sz w:val="17"/>
              </w:rPr>
              <w:t>4 Uso pretendido</w:t>
            </w:r>
          </w:p>
        </w:tc>
      </w:tr>
    </w:tbl>
    <w:p>
      <w:pPr>
        <w:spacing w:after="0"/>
      </w:pPr>
    </w:p>
    <w:p>
      <w:pPr>
        <w:pStyle w:val="Heading2"/>
      </w:pPr>
      <w:r>
        <w:t>Referências</w:t>
      </w:r>
    </w:p>
    <w:p>
      <w:pPr>
        <w:ind w:left="259" w:hanging="259"/>
      </w:pPr>
      <w:r>
        <w:rPr>
          <w:sz w:val="17"/>
        </w:rPr>
        <w:t>Cortez, P. et al. Modeling wine preferences by data mining from physicochemical properties. Decision Support Systems, 2009.</w:t>
      </w:r>
    </w:p>
    <w:p>
      <w:pPr>
        <w:ind w:left="259" w:hanging="259"/>
      </w:pPr>
      <w:r>
        <w:rPr>
          <w:sz w:val="17"/>
        </w:rPr>
        <w:t>UCI Machine Learning Repository. Wine Quality. DOI 10.24432/C56S3T.</w:t>
      </w:r>
    </w:p>
    <w:p>
      <w:pPr>
        <w:ind w:left="259" w:hanging="259"/>
      </w:pPr>
      <w:r>
        <w:rPr>
          <w:sz w:val="17"/>
        </w:rPr>
        <w:t>IASEG. Projeto da Disciplina 2 de Aprendizado de Máquina e Banco de perguntas, 2026.</w:t>
      </w:r>
    </w:p>
    <w:sectPr w:rsidR="00FC693F" w:rsidRPr="0006063C" w:rsidSect="00034616">
      <w:footerReference w:type="default" r:id="rId9"/>
      <w:pgSz w:w="12240" w:h="15840"/>
      <w:pgMar w:top="792" w:right="979" w:bottom="893" w:left="979" w:header="720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Qualidade de vinhos</dc:title>
  <dc:subject>Relatório do projeto de Aprendizado de Máquina</dc:subject>
  <dc:creator>Grupo de Qualidade de vinhos</dc:creator>
  <cp:keywords>aprendizado de máquina, regressão, qualidade de vinhos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