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A5219" w:rsidRDefault="00EA5219" w:rsidP="00EA5219">
      <w:pPr>
        <w:keepNext/>
      </w:pPr>
      <w:r>
        <w:t>Benchmark results:</w:t>
      </w:r>
    </w:p>
    <w:p w:rsidR="00EA5219" w:rsidRDefault="00EA5219" w:rsidP="00EA5219">
      <w:pPr>
        <w:keepNext/>
      </w:pPr>
      <w:r>
        <w:rPr>
          <w:noProof/>
          <w:lang w:eastAsia="en-AU"/>
        </w:rPr>
        <w:drawing>
          <wp:inline distT="0" distB="0" distL="0" distR="0" wp14:anchorId="255B27DD" wp14:editId="35150740">
            <wp:extent cx="5731510" cy="3179445"/>
            <wp:effectExtent l="0" t="0" r="2540" b="1905"/>
            <wp:docPr id="1" name="Chart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"/>
              </a:graphicData>
            </a:graphic>
          </wp:inline>
        </w:drawing>
      </w:r>
    </w:p>
    <w:p w:rsidR="00EA5219" w:rsidRDefault="00EA5219" w:rsidP="00EA5219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C334E9">
        <w:rPr>
          <w:noProof/>
        </w:rPr>
        <w:t>1</w:t>
      </w:r>
      <w:r>
        <w:fldChar w:fldCharType="end"/>
      </w:r>
      <w:r>
        <w:t xml:space="preserve"> I think this diverging error is due to over fitting to our training dataset.</w:t>
      </w:r>
    </w:p>
    <w:p w:rsidR="00EA5219" w:rsidRDefault="00EA5219" w:rsidP="00EA5219">
      <w:pPr>
        <w:keepNext/>
      </w:pPr>
    </w:p>
    <w:p w:rsidR="00EA5219" w:rsidRDefault="00EA5219" w:rsidP="00EA5219">
      <w:pPr>
        <w:keepNext/>
      </w:pPr>
      <w:r>
        <w:t>Idea 1: Reduce training data to only right side of the field because we only test the right side of the field</w:t>
      </w:r>
    </w:p>
    <w:p w:rsidR="00EA5219" w:rsidRDefault="00EA5219" w:rsidP="00EA5219">
      <w:pPr>
        <w:keepNext/>
      </w:pPr>
      <w:r>
        <w:rPr>
          <w:noProof/>
          <w:lang w:eastAsia="en-AU"/>
        </w:rPr>
        <w:drawing>
          <wp:inline distT="0" distB="0" distL="0" distR="0" wp14:anchorId="1A255127" wp14:editId="24A70562">
            <wp:extent cx="5665763" cy="3573771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5060" cy="35796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A468B" w:rsidRDefault="00EA5219" w:rsidP="00EA5219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C334E9">
        <w:rPr>
          <w:noProof/>
        </w:rPr>
        <w:t>2</w:t>
      </w:r>
      <w:r>
        <w:fldChar w:fldCharType="end"/>
      </w:r>
      <w:r>
        <w:t xml:space="preserve"> Removed the training data from the left hand side of the field that we are not testing in. This did not help.</w:t>
      </w:r>
    </w:p>
    <w:p w:rsidR="00EA5219" w:rsidRDefault="00EA5219">
      <w:r>
        <w:br w:type="page"/>
      </w:r>
    </w:p>
    <w:p w:rsidR="00EA5219" w:rsidRDefault="00EA5219">
      <w:r>
        <w:lastRenderedPageBreak/>
        <w:t xml:space="preserve">Idea 2a: One way to address overfitting due to a small dataset is to reduce the amount of the pre-trained network you apply transfer learning to. For the first attempt, I made the whole </w:t>
      </w:r>
      <w:proofErr w:type="spellStart"/>
      <w:r>
        <w:t>ResNet</w:t>
      </w:r>
      <w:proofErr w:type="spellEnd"/>
      <w:r>
        <w:t xml:space="preserve"> network untrainable, leaving </w:t>
      </w:r>
      <w:r w:rsidR="00C334E9">
        <w:t>only the layers we added on the end: a fully connected layer and our 2 output layers.</w:t>
      </w:r>
    </w:p>
    <w:p w:rsidR="00EA5219" w:rsidRDefault="00EA5219" w:rsidP="00EA5219">
      <w:pPr>
        <w:keepNext/>
      </w:pPr>
      <w:r>
        <w:rPr>
          <w:noProof/>
          <w:lang w:eastAsia="en-AU"/>
        </w:rPr>
        <w:drawing>
          <wp:inline distT="0" distB="0" distL="0" distR="0" wp14:anchorId="33942FBA" wp14:editId="56F7D061">
            <wp:extent cx="5750181" cy="3544033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146" cy="355140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A5219" w:rsidRDefault="00EA5219" w:rsidP="00EA5219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C334E9">
        <w:rPr>
          <w:noProof/>
        </w:rPr>
        <w:t>3</w:t>
      </w:r>
      <w:r>
        <w:fldChar w:fldCharType="end"/>
      </w:r>
      <w:r>
        <w:t xml:space="preserve"> Keeping the reduced training data, I made the entire </w:t>
      </w:r>
      <w:proofErr w:type="spellStart"/>
      <w:r>
        <w:t>ResNet</w:t>
      </w:r>
      <w:proofErr w:type="spellEnd"/>
      <w:r>
        <w:t xml:space="preserve"> untrainable, leaving only the final 2 layers I added for pose regression. Had to train for twice as long as normal to stabilise. Slightly better results.</w:t>
      </w:r>
    </w:p>
    <w:p w:rsidR="00EA5219" w:rsidRDefault="00EA5219" w:rsidP="00EA5219"/>
    <w:p w:rsidR="00C334E9" w:rsidRDefault="00C334E9">
      <w:r>
        <w:br w:type="page"/>
      </w:r>
    </w:p>
    <w:p w:rsidR="00EA5219" w:rsidRDefault="00EA5219" w:rsidP="00EA5219">
      <w:r>
        <w:lastRenderedPageBreak/>
        <w:t>Idea 2b:</w:t>
      </w:r>
      <w:r w:rsidR="00C334E9">
        <w:t xml:space="preserve"> Increase the amount of the </w:t>
      </w:r>
      <w:proofErr w:type="spellStart"/>
      <w:r w:rsidR="00C334E9">
        <w:t>ResNet</w:t>
      </w:r>
      <w:proofErr w:type="spellEnd"/>
      <w:r w:rsidR="00C334E9">
        <w:t xml:space="preserve"> network that is trainable to the last 20% of the network.</w:t>
      </w:r>
    </w:p>
    <w:p w:rsidR="00C334E9" w:rsidRDefault="00C334E9" w:rsidP="00C334E9">
      <w:pPr>
        <w:keepNext/>
      </w:pPr>
      <w:r>
        <w:rPr>
          <w:noProof/>
          <w:lang w:eastAsia="en-AU"/>
        </w:rPr>
        <w:drawing>
          <wp:inline distT="0" distB="0" distL="0" distR="0" wp14:anchorId="4C190752" wp14:editId="773AA1D0">
            <wp:extent cx="5705231" cy="371602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9059" cy="375759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A5219" w:rsidRDefault="00C334E9" w:rsidP="00C334E9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 xml:space="preserve"> Allow training of the Res5 layers. Results are worse than not allowing any of the </w:t>
      </w:r>
      <w:proofErr w:type="spellStart"/>
      <w:r>
        <w:t>ResNet</w:t>
      </w:r>
      <w:proofErr w:type="spellEnd"/>
      <w:r>
        <w:t xml:space="preserve"> to be trainable, which is surprising.</w:t>
      </w:r>
    </w:p>
    <w:p w:rsidR="00C334E9" w:rsidRDefault="00C334E9" w:rsidP="00C334E9"/>
    <w:p w:rsidR="00C334E9" w:rsidRDefault="00C334E9" w:rsidP="00C334E9">
      <w:r>
        <w:t>Other Ideas:</w:t>
      </w:r>
    </w:p>
    <w:p w:rsidR="00C334E9" w:rsidRDefault="00C334E9" w:rsidP="00C334E9">
      <w:pPr>
        <w:pStyle w:val="ListParagraph"/>
        <w:numPr>
          <w:ilvl w:val="0"/>
          <w:numId w:val="1"/>
        </w:numPr>
      </w:pPr>
      <w:r>
        <w:t xml:space="preserve">Use a better loss function as described in the </w:t>
      </w:r>
      <w:proofErr w:type="spellStart"/>
      <w:r>
        <w:t>PoseNet</w:t>
      </w:r>
      <w:proofErr w:type="spellEnd"/>
      <w:r>
        <w:t xml:space="preserve"> paper, instead of the naïve Root Mean Square loss currently used.</w:t>
      </w:r>
    </w:p>
    <w:p w:rsidR="00C334E9" w:rsidRDefault="00C334E9" w:rsidP="00C334E9">
      <w:pPr>
        <w:pStyle w:val="ListParagraph"/>
        <w:numPr>
          <w:ilvl w:val="0"/>
          <w:numId w:val="1"/>
        </w:numPr>
      </w:pPr>
      <w:r>
        <w:t>Introduce dropouts in the fully connected layer we added to reduce overfitting.</w:t>
      </w:r>
    </w:p>
    <w:p w:rsidR="00C334E9" w:rsidRDefault="00C334E9" w:rsidP="00C334E9">
      <w:pPr>
        <w:pStyle w:val="ListParagraph"/>
        <w:numPr>
          <w:ilvl w:val="0"/>
          <w:numId w:val="1"/>
        </w:numPr>
      </w:pPr>
      <w:r>
        <w:t>Report rotation error in degrees so it can be included in the graphs from now on.</w:t>
      </w:r>
    </w:p>
    <w:p w:rsidR="00C334E9" w:rsidRDefault="00C334E9" w:rsidP="00C334E9">
      <w:pPr>
        <w:pStyle w:val="ListParagraph"/>
        <w:numPr>
          <w:ilvl w:val="0"/>
          <w:numId w:val="1"/>
        </w:numPr>
      </w:pPr>
      <w:r>
        <w:t>Augment the current dataset</w:t>
      </w:r>
    </w:p>
    <w:p w:rsidR="00C334E9" w:rsidRDefault="00C334E9" w:rsidP="00C334E9">
      <w:pPr>
        <w:pStyle w:val="ListParagraph"/>
        <w:numPr>
          <w:ilvl w:val="1"/>
          <w:numId w:val="1"/>
        </w:numPr>
      </w:pPr>
      <w:r>
        <w:t>Undistort the fish eye lens, and then reproject at a different angle?</w:t>
      </w:r>
    </w:p>
    <w:p w:rsidR="00C334E9" w:rsidRPr="00C334E9" w:rsidRDefault="00C334E9" w:rsidP="00C334E9">
      <w:pPr>
        <w:pStyle w:val="ListParagraph"/>
        <w:numPr>
          <w:ilvl w:val="1"/>
          <w:numId w:val="1"/>
        </w:numPr>
      </w:pPr>
      <w:r>
        <w:t>Need some way to create artificial views that are a blend of two different training points.</w:t>
      </w:r>
      <w:bookmarkStart w:id="0" w:name="_GoBack"/>
      <w:bookmarkEnd w:id="0"/>
      <w:r>
        <w:t xml:space="preserve"> </w:t>
      </w:r>
    </w:p>
    <w:sectPr w:rsidR="00C334E9" w:rsidRPr="00C334E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F5E0BEA"/>
    <w:multiLevelType w:val="hybridMultilevel"/>
    <w:tmpl w:val="92F8A1EA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A5219"/>
    <w:rsid w:val="00220716"/>
    <w:rsid w:val="00C334E9"/>
    <w:rsid w:val="00EA468B"/>
    <w:rsid w:val="00EA52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690ADC"/>
  <w15:chartTrackingRefBased/>
  <w15:docId w15:val="{B2DB65F9-27D9-4828-9950-14FFB8E3FD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EA521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ListParagraph">
    <w:name w:val="List Paragraph"/>
    <w:basedOn w:val="Normal"/>
    <w:uiPriority w:val="34"/>
    <w:qFormat/>
    <w:rsid w:val="00C334E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chart" Target="charts/chart1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D:\VLocNet++\Research\Results\NUbotsLabDataset2\01.%20ResultsRawDataset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spc="100" baseline="0">
                <a:solidFill>
                  <a:schemeClr val="lt1">
                    <a:lumMod val="95000"/>
                  </a:schemeClr>
                </a:solidFill>
                <a:effectLst>
                  <a:outerShdw blurRad="50800" dist="38100" dir="5400000" algn="t" rotWithShape="0">
                    <a:prstClr val="black">
                      <a:alpha val="40000"/>
                    </a:prstClr>
                  </a:outerShdw>
                </a:effectLst>
                <a:latin typeface="+mn-lt"/>
                <a:ea typeface="+mn-ea"/>
                <a:cs typeface="+mn-cs"/>
              </a:defRPr>
            </a:pPr>
            <a:r>
              <a:rPr lang="en-AU"/>
              <a:t>Position Error on NUbots Dataset 2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spc="100" baseline="0">
              <a:solidFill>
                <a:schemeClr val="lt1">
                  <a:lumMod val="95000"/>
                </a:schemeClr>
              </a:solidFill>
              <a:effectLst>
                <a:outerShdw blurRad="50800" dist="38100" dir="5400000" algn="t" rotWithShape="0">
                  <a:prstClr val="black">
                    <a:alpha val="40000"/>
                  </a:prstClr>
                </a:outerShdw>
              </a:effectLst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v>train_xyz_error</c:v>
          </c:tx>
          <c:spPr>
            <a:ln w="34925" cap="rnd">
              <a:solidFill>
                <a:schemeClr val="accent1"/>
              </a:solidFill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cat>
            <c:numRef>
              <c:f>Results!$A$2:$A$54</c:f>
              <c:numCache>
                <c:formatCode>General</c:formatCode>
                <c:ptCount val="53"/>
                <c:pt idx="0">
                  <c:v>5</c:v>
                </c:pt>
                <c:pt idx="1">
                  <c:v>10</c:v>
                </c:pt>
                <c:pt idx="2">
                  <c:v>15</c:v>
                </c:pt>
                <c:pt idx="3">
                  <c:v>20</c:v>
                </c:pt>
                <c:pt idx="4">
                  <c:v>25</c:v>
                </c:pt>
                <c:pt idx="5">
                  <c:v>30</c:v>
                </c:pt>
                <c:pt idx="6">
                  <c:v>35</c:v>
                </c:pt>
                <c:pt idx="7">
                  <c:v>40</c:v>
                </c:pt>
                <c:pt idx="8">
                  <c:v>45</c:v>
                </c:pt>
                <c:pt idx="9">
                  <c:v>50</c:v>
                </c:pt>
                <c:pt idx="10">
                  <c:v>55</c:v>
                </c:pt>
                <c:pt idx="11">
                  <c:v>60</c:v>
                </c:pt>
                <c:pt idx="12">
                  <c:v>65</c:v>
                </c:pt>
                <c:pt idx="13">
                  <c:v>70</c:v>
                </c:pt>
                <c:pt idx="14">
                  <c:v>75</c:v>
                </c:pt>
                <c:pt idx="15">
                  <c:v>80</c:v>
                </c:pt>
                <c:pt idx="16">
                  <c:v>85</c:v>
                </c:pt>
                <c:pt idx="17">
                  <c:v>90</c:v>
                </c:pt>
                <c:pt idx="18">
                  <c:v>95</c:v>
                </c:pt>
                <c:pt idx="19">
                  <c:v>100</c:v>
                </c:pt>
                <c:pt idx="20">
                  <c:v>105</c:v>
                </c:pt>
                <c:pt idx="21">
                  <c:v>110</c:v>
                </c:pt>
                <c:pt idx="22">
                  <c:v>115</c:v>
                </c:pt>
                <c:pt idx="23">
                  <c:v>120</c:v>
                </c:pt>
                <c:pt idx="24">
                  <c:v>125</c:v>
                </c:pt>
                <c:pt idx="25">
                  <c:v>130</c:v>
                </c:pt>
                <c:pt idx="26">
                  <c:v>135</c:v>
                </c:pt>
                <c:pt idx="27">
                  <c:v>140</c:v>
                </c:pt>
                <c:pt idx="28">
                  <c:v>145</c:v>
                </c:pt>
                <c:pt idx="29">
                  <c:v>150</c:v>
                </c:pt>
                <c:pt idx="30">
                  <c:v>155</c:v>
                </c:pt>
                <c:pt idx="31">
                  <c:v>160</c:v>
                </c:pt>
                <c:pt idx="32">
                  <c:v>165</c:v>
                </c:pt>
                <c:pt idx="33">
                  <c:v>170</c:v>
                </c:pt>
                <c:pt idx="34">
                  <c:v>175</c:v>
                </c:pt>
                <c:pt idx="35">
                  <c:v>180</c:v>
                </c:pt>
                <c:pt idx="36">
                  <c:v>185</c:v>
                </c:pt>
                <c:pt idx="37">
                  <c:v>190</c:v>
                </c:pt>
                <c:pt idx="38">
                  <c:v>195</c:v>
                </c:pt>
                <c:pt idx="39">
                  <c:v>200</c:v>
                </c:pt>
                <c:pt idx="40">
                  <c:v>205</c:v>
                </c:pt>
                <c:pt idx="41">
                  <c:v>210</c:v>
                </c:pt>
                <c:pt idx="42">
                  <c:v>215</c:v>
                </c:pt>
                <c:pt idx="43">
                  <c:v>220</c:v>
                </c:pt>
                <c:pt idx="44">
                  <c:v>225</c:v>
                </c:pt>
                <c:pt idx="45">
                  <c:v>230</c:v>
                </c:pt>
                <c:pt idx="46">
                  <c:v>235</c:v>
                </c:pt>
                <c:pt idx="47">
                  <c:v>240</c:v>
                </c:pt>
                <c:pt idx="48">
                  <c:v>245</c:v>
                </c:pt>
                <c:pt idx="49">
                  <c:v>250</c:v>
                </c:pt>
                <c:pt idx="50">
                  <c:v>255</c:v>
                </c:pt>
                <c:pt idx="51">
                  <c:v>260</c:v>
                </c:pt>
                <c:pt idx="52">
                  <c:v>265</c:v>
                </c:pt>
              </c:numCache>
            </c:numRef>
          </c:cat>
          <c:val>
            <c:numRef>
              <c:f>Results!$B$2:$B$54</c:f>
              <c:numCache>
                <c:formatCode>General</c:formatCode>
                <c:ptCount val="53"/>
                <c:pt idx="0">
                  <c:v>0.13081393496268201</c:v>
                </c:pt>
                <c:pt idx="1">
                  <c:v>9.0694778212989199E-2</c:v>
                </c:pt>
                <c:pt idx="2">
                  <c:v>7.4509163763677805E-2</c:v>
                </c:pt>
                <c:pt idx="3">
                  <c:v>6.18711666338852E-2</c:v>
                </c:pt>
                <c:pt idx="4">
                  <c:v>5.8105110223350798E-2</c:v>
                </c:pt>
                <c:pt idx="5">
                  <c:v>5.3712384598623999E-2</c:v>
                </c:pt>
                <c:pt idx="6">
                  <c:v>5.1350016047722401E-2</c:v>
                </c:pt>
                <c:pt idx="7">
                  <c:v>4.3276800304502497E-2</c:v>
                </c:pt>
                <c:pt idx="8">
                  <c:v>4.3031200221096598E-2</c:v>
                </c:pt>
                <c:pt idx="9">
                  <c:v>3.9469283985318002E-2</c:v>
                </c:pt>
                <c:pt idx="10">
                  <c:v>4.2878261843259199E-2</c:v>
                </c:pt>
                <c:pt idx="11">
                  <c:v>4.0059813110780697E-2</c:v>
                </c:pt>
                <c:pt idx="12">
                  <c:v>3.9554187578587599E-2</c:v>
                </c:pt>
                <c:pt idx="13">
                  <c:v>3.85612275717956E-2</c:v>
                </c:pt>
                <c:pt idx="14">
                  <c:v>3.6479133474152402E-2</c:v>
                </c:pt>
                <c:pt idx="15">
                  <c:v>3.3622841476253502E-2</c:v>
                </c:pt>
                <c:pt idx="16">
                  <c:v>3.72219067593779E-2</c:v>
                </c:pt>
                <c:pt idx="17">
                  <c:v>4.4480103670856502E-2</c:v>
                </c:pt>
                <c:pt idx="18">
                  <c:v>3.5493657907189002E-2</c:v>
                </c:pt>
                <c:pt idx="19">
                  <c:v>3.0377045224192899E-2</c:v>
                </c:pt>
                <c:pt idx="20">
                  <c:v>2.8415529302223699E-2</c:v>
                </c:pt>
                <c:pt idx="21">
                  <c:v>3.66405793674872E-2</c:v>
                </c:pt>
                <c:pt idx="22">
                  <c:v>3.5200024739577201E-2</c:v>
                </c:pt>
                <c:pt idx="23">
                  <c:v>4.1241179754997803E-2</c:v>
                </c:pt>
                <c:pt idx="24">
                  <c:v>5.3768520576634497E-2</c:v>
                </c:pt>
                <c:pt idx="25">
                  <c:v>3.0378452478946699E-2</c:v>
                </c:pt>
                <c:pt idx="26">
                  <c:v>2.4369326830777999E-2</c:v>
                </c:pt>
                <c:pt idx="27">
                  <c:v>2.3970206595101799E-2</c:v>
                </c:pt>
                <c:pt idx="28">
                  <c:v>2.4524995114982798E-2</c:v>
                </c:pt>
                <c:pt idx="29">
                  <c:v>2.7325755828207399E-2</c:v>
                </c:pt>
                <c:pt idx="30">
                  <c:v>2.2332531819972301E-2</c:v>
                </c:pt>
                <c:pt idx="31">
                  <c:v>2.5117241168478299E-2</c:v>
                </c:pt>
                <c:pt idx="32">
                  <c:v>2.2586754286125499E-2</c:v>
                </c:pt>
                <c:pt idx="33">
                  <c:v>2.5116651717219999E-2</c:v>
                </c:pt>
                <c:pt idx="34">
                  <c:v>6.4041258398437204E-2</c:v>
                </c:pt>
                <c:pt idx="35">
                  <c:v>3.2467958329868297E-2</c:v>
                </c:pt>
                <c:pt idx="36">
                  <c:v>2.1875376696892001E-2</c:v>
                </c:pt>
                <c:pt idx="37">
                  <c:v>1.94164727940014E-2</c:v>
                </c:pt>
                <c:pt idx="38">
                  <c:v>1.8247538050961999E-2</c:v>
                </c:pt>
                <c:pt idx="39">
                  <c:v>2.18622877778556E-2</c:v>
                </c:pt>
                <c:pt idx="40">
                  <c:v>2.2480993368933999E-2</c:v>
                </c:pt>
                <c:pt idx="41">
                  <c:v>2.2575372724658999E-2</c:v>
                </c:pt>
                <c:pt idx="42">
                  <c:v>1.9420692563899899E-2</c:v>
                </c:pt>
                <c:pt idx="43">
                  <c:v>2.1523044272612601E-2</c:v>
                </c:pt>
                <c:pt idx="44">
                  <c:v>1.63258748646583E-2</c:v>
                </c:pt>
                <c:pt idx="45">
                  <c:v>2.0863261024239799E-2</c:v>
                </c:pt>
                <c:pt idx="46">
                  <c:v>1.89934943921975E-2</c:v>
                </c:pt>
                <c:pt idx="47">
                  <c:v>2.2967083010816298E-2</c:v>
                </c:pt>
                <c:pt idx="48">
                  <c:v>2.9952314597075601E-2</c:v>
                </c:pt>
                <c:pt idx="49">
                  <c:v>2.1672757810443401E-2</c:v>
                </c:pt>
                <c:pt idx="50">
                  <c:v>5.1154590963375102E-2</c:v>
                </c:pt>
                <c:pt idx="51">
                  <c:v>2.2666197601773901E-2</c:v>
                </c:pt>
                <c:pt idx="52">
                  <c:v>1.6507830706342801E-2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FC7E-4804-95F8-A0EEEA2D7555}"/>
            </c:ext>
          </c:extLst>
        </c:ser>
        <c:ser>
          <c:idx val="1"/>
          <c:order val="1"/>
          <c:tx>
            <c:v>test_xyz_error</c:v>
          </c:tx>
          <c:spPr>
            <a:ln w="34925" cap="rnd">
              <a:solidFill>
                <a:schemeClr val="accent2"/>
              </a:solidFill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cat>
            <c:numRef>
              <c:f>Results!$A$2:$A$54</c:f>
              <c:numCache>
                <c:formatCode>General</c:formatCode>
                <c:ptCount val="53"/>
                <c:pt idx="0">
                  <c:v>5</c:v>
                </c:pt>
                <c:pt idx="1">
                  <c:v>10</c:v>
                </c:pt>
                <c:pt idx="2">
                  <c:v>15</c:v>
                </c:pt>
                <c:pt idx="3">
                  <c:v>20</c:v>
                </c:pt>
                <c:pt idx="4">
                  <c:v>25</c:v>
                </c:pt>
                <c:pt idx="5">
                  <c:v>30</c:v>
                </c:pt>
                <c:pt idx="6">
                  <c:v>35</c:v>
                </c:pt>
                <c:pt idx="7">
                  <c:v>40</c:v>
                </c:pt>
                <c:pt idx="8">
                  <c:v>45</c:v>
                </c:pt>
                <c:pt idx="9">
                  <c:v>50</c:v>
                </c:pt>
                <c:pt idx="10">
                  <c:v>55</c:v>
                </c:pt>
                <c:pt idx="11">
                  <c:v>60</c:v>
                </c:pt>
                <c:pt idx="12">
                  <c:v>65</c:v>
                </c:pt>
                <c:pt idx="13">
                  <c:v>70</c:v>
                </c:pt>
                <c:pt idx="14">
                  <c:v>75</c:v>
                </c:pt>
                <c:pt idx="15">
                  <c:v>80</c:v>
                </c:pt>
                <c:pt idx="16">
                  <c:v>85</c:v>
                </c:pt>
                <c:pt idx="17">
                  <c:v>90</c:v>
                </c:pt>
                <c:pt idx="18">
                  <c:v>95</c:v>
                </c:pt>
                <c:pt idx="19">
                  <c:v>100</c:v>
                </c:pt>
                <c:pt idx="20">
                  <c:v>105</c:v>
                </c:pt>
                <c:pt idx="21">
                  <c:v>110</c:v>
                </c:pt>
                <c:pt idx="22">
                  <c:v>115</c:v>
                </c:pt>
                <c:pt idx="23">
                  <c:v>120</c:v>
                </c:pt>
                <c:pt idx="24">
                  <c:v>125</c:v>
                </c:pt>
                <c:pt idx="25">
                  <c:v>130</c:v>
                </c:pt>
                <c:pt idx="26">
                  <c:v>135</c:v>
                </c:pt>
                <c:pt idx="27">
                  <c:v>140</c:v>
                </c:pt>
                <c:pt idx="28">
                  <c:v>145</c:v>
                </c:pt>
                <c:pt idx="29">
                  <c:v>150</c:v>
                </c:pt>
                <c:pt idx="30">
                  <c:v>155</c:v>
                </c:pt>
                <c:pt idx="31">
                  <c:v>160</c:v>
                </c:pt>
                <c:pt idx="32">
                  <c:v>165</c:v>
                </c:pt>
                <c:pt idx="33">
                  <c:v>170</c:v>
                </c:pt>
                <c:pt idx="34">
                  <c:v>175</c:v>
                </c:pt>
                <c:pt idx="35">
                  <c:v>180</c:v>
                </c:pt>
                <c:pt idx="36">
                  <c:v>185</c:v>
                </c:pt>
                <c:pt idx="37">
                  <c:v>190</c:v>
                </c:pt>
                <c:pt idx="38">
                  <c:v>195</c:v>
                </c:pt>
                <c:pt idx="39">
                  <c:v>200</c:v>
                </c:pt>
                <c:pt idx="40">
                  <c:v>205</c:v>
                </c:pt>
                <c:pt idx="41">
                  <c:v>210</c:v>
                </c:pt>
                <c:pt idx="42">
                  <c:v>215</c:v>
                </c:pt>
                <c:pt idx="43">
                  <c:v>220</c:v>
                </c:pt>
                <c:pt idx="44">
                  <c:v>225</c:v>
                </c:pt>
                <c:pt idx="45">
                  <c:v>230</c:v>
                </c:pt>
                <c:pt idx="46">
                  <c:v>235</c:v>
                </c:pt>
                <c:pt idx="47">
                  <c:v>240</c:v>
                </c:pt>
                <c:pt idx="48">
                  <c:v>245</c:v>
                </c:pt>
                <c:pt idx="49">
                  <c:v>250</c:v>
                </c:pt>
                <c:pt idx="50">
                  <c:v>255</c:v>
                </c:pt>
                <c:pt idx="51">
                  <c:v>260</c:v>
                </c:pt>
                <c:pt idx="52">
                  <c:v>265</c:v>
                </c:pt>
              </c:numCache>
            </c:numRef>
          </c:cat>
          <c:val>
            <c:numRef>
              <c:f>Results!$C$2:$C$54</c:f>
              <c:numCache>
                <c:formatCode>General</c:formatCode>
                <c:ptCount val="53"/>
                <c:pt idx="0">
                  <c:v>0.354295500801869</c:v>
                </c:pt>
                <c:pt idx="1">
                  <c:v>0.30505843676300498</c:v>
                </c:pt>
                <c:pt idx="2">
                  <c:v>0.32214227559590503</c:v>
                </c:pt>
                <c:pt idx="3">
                  <c:v>0.31580619779901398</c:v>
                </c:pt>
                <c:pt idx="4">
                  <c:v>0.32908844044714203</c:v>
                </c:pt>
                <c:pt idx="5">
                  <c:v>0.32687667885211902</c:v>
                </c:pt>
                <c:pt idx="6">
                  <c:v>0.31928539717638899</c:v>
                </c:pt>
                <c:pt idx="7">
                  <c:v>0.32706171555149799</c:v>
                </c:pt>
                <c:pt idx="8">
                  <c:v>0.32814172301629502</c:v>
                </c:pt>
                <c:pt idx="9">
                  <c:v>0.32754216210207898</c:v>
                </c:pt>
                <c:pt idx="10">
                  <c:v>0.32779443785799001</c:v>
                </c:pt>
                <c:pt idx="11">
                  <c:v>0.34013192681752402</c:v>
                </c:pt>
                <c:pt idx="12">
                  <c:v>0.355986860464719</c:v>
                </c:pt>
                <c:pt idx="13">
                  <c:v>0.34389352557635</c:v>
                </c:pt>
                <c:pt idx="14">
                  <c:v>0.35314265846804699</c:v>
                </c:pt>
                <c:pt idx="15">
                  <c:v>0.347355297117522</c:v>
                </c:pt>
                <c:pt idx="16">
                  <c:v>0.36677139335208397</c:v>
                </c:pt>
                <c:pt idx="17">
                  <c:v>0.354071257692394</c:v>
                </c:pt>
                <c:pt idx="18">
                  <c:v>0.36079410852406502</c:v>
                </c:pt>
                <c:pt idx="19">
                  <c:v>0.36046450386946399</c:v>
                </c:pt>
                <c:pt idx="20">
                  <c:v>0.36908485873379598</c:v>
                </c:pt>
                <c:pt idx="21">
                  <c:v>0.39452552293687498</c:v>
                </c:pt>
                <c:pt idx="22">
                  <c:v>0.390421532219909</c:v>
                </c:pt>
                <c:pt idx="23">
                  <c:v>0.42400976784702898</c:v>
                </c:pt>
                <c:pt idx="24">
                  <c:v>0.40331895022279801</c:v>
                </c:pt>
                <c:pt idx="25">
                  <c:v>0.379148077884507</c:v>
                </c:pt>
                <c:pt idx="26">
                  <c:v>0.39137239006633301</c:v>
                </c:pt>
                <c:pt idx="27">
                  <c:v>0.39477188177783001</c:v>
                </c:pt>
                <c:pt idx="28">
                  <c:v>0.40478356619073802</c:v>
                </c:pt>
                <c:pt idx="29">
                  <c:v>0.406257701040518</c:v>
                </c:pt>
                <c:pt idx="30">
                  <c:v>0.41975688613223699</c:v>
                </c:pt>
                <c:pt idx="31">
                  <c:v>0.41138683605675702</c:v>
                </c:pt>
                <c:pt idx="32">
                  <c:v>0.42426244397757401</c:v>
                </c:pt>
                <c:pt idx="33">
                  <c:v>0.43864165010676998</c:v>
                </c:pt>
                <c:pt idx="34">
                  <c:v>0.45594069943684901</c:v>
                </c:pt>
                <c:pt idx="35">
                  <c:v>0.41856965051355499</c:v>
                </c:pt>
                <c:pt idx="36">
                  <c:v>0.41401221354802398</c:v>
                </c:pt>
                <c:pt idx="37">
                  <c:v>0.41913507462350602</c:v>
                </c:pt>
                <c:pt idx="38">
                  <c:v>0.42346394262731202</c:v>
                </c:pt>
                <c:pt idx="39">
                  <c:v>0.434587814189769</c:v>
                </c:pt>
                <c:pt idx="40">
                  <c:v>0.44674153119225202</c:v>
                </c:pt>
                <c:pt idx="41">
                  <c:v>0.45464549923585301</c:v>
                </c:pt>
                <c:pt idx="42">
                  <c:v>0.45410674509375898</c:v>
                </c:pt>
                <c:pt idx="43">
                  <c:v>0.44408597568871599</c:v>
                </c:pt>
                <c:pt idx="44">
                  <c:v>0.45090723920751502</c:v>
                </c:pt>
                <c:pt idx="45">
                  <c:v>0.44871353701710298</c:v>
                </c:pt>
                <c:pt idx="46">
                  <c:v>0.46708087367240803</c:v>
                </c:pt>
                <c:pt idx="47">
                  <c:v>0.46371504754731102</c:v>
                </c:pt>
                <c:pt idx="48">
                  <c:v>0.52863203957425997</c:v>
                </c:pt>
                <c:pt idx="49">
                  <c:v>0.48443805990797101</c:v>
                </c:pt>
                <c:pt idx="50">
                  <c:v>0.51989295627131604</c:v>
                </c:pt>
                <c:pt idx="51">
                  <c:v>0.45206384165118402</c:v>
                </c:pt>
                <c:pt idx="52">
                  <c:v>0.454595379556469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FC7E-4804-95F8-A0EEEA2D7555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478013144"/>
        <c:axId val="478011176"/>
      </c:lineChart>
      <c:catAx>
        <c:axId val="478013144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900" b="1" i="0" u="none" strike="noStrike" kern="1200" cap="all" baseline="0">
                    <a:solidFill>
                      <a:schemeClr val="lt1">
                        <a:lumMod val="8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AU"/>
                  <a:t>EPOCH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900" b="1" i="0" u="none" strike="noStrike" kern="1200" cap="all" baseline="0">
                  <a:solidFill>
                    <a:schemeClr val="lt1">
                      <a:lumMod val="8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lt1">
                <a:lumMod val="95000"/>
                <a:alpha val="10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478011176"/>
        <c:crosses val="autoZero"/>
        <c:auto val="1"/>
        <c:lblAlgn val="ctr"/>
        <c:lblOffset val="100"/>
        <c:noMultiLvlLbl val="0"/>
      </c:catAx>
      <c:valAx>
        <c:axId val="47801117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lt1">
                  <a:lumMod val="95000"/>
                  <a:alpha val="10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900" b="1" i="0" u="none" strike="noStrike" kern="1200" cap="all" baseline="0">
                    <a:solidFill>
                      <a:schemeClr val="lt1">
                        <a:lumMod val="8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AU"/>
                  <a:t>Mean</a:t>
                </a:r>
                <a:r>
                  <a:rPr lang="en-AU" baseline="0"/>
                  <a:t> Absolute Position Error</a:t>
                </a:r>
                <a:endParaRPr lang="en-A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900" b="1" i="0" u="none" strike="noStrike" kern="1200" cap="all" baseline="0">
                  <a:solidFill>
                    <a:schemeClr val="lt1">
                      <a:lumMod val="8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47801314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tr"/>
      <c:layout>
        <c:manualLayout>
          <c:xMode val="edge"/>
          <c:yMode val="edge"/>
          <c:x val="0.89547912715290146"/>
          <c:y val="7.8122807017543858E-2"/>
          <c:w val="8.4082916642718927E-2"/>
          <c:h val="5.9210940737670956E-2"/>
        </c:manualLayout>
      </c:layout>
      <c:overlay val="1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lt1">
                  <a:lumMod val="8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gradFill flip="none" rotWithShape="1">
      <a:gsLst>
        <a:gs pos="0">
          <a:schemeClr val="dk1">
            <a:lumMod val="65000"/>
            <a:lumOff val="35000"/>
          </a:schemeClr>
        </a:gs>
        <a:gs pos="100000">
          <a:schemeClr val="dk1">
            <a:lumMod val="85000"/>
            <a:lumOff val="15000"/>
          </a:schemeClr>
        </a:gs>
      </a:gsLst>
      <a:path path="circle">
        <a:fillToRect l="50000" t="50000" r="50000" b="50000"/>
      </a:path>
      <a:tileRect/>
    </a:gradFill>
    <a:ln>
      <a:noFill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33">
  <cs:axisTitle>
    <cs:lnRef idx="0"/>
    <cs:fillRef idx="0"/>
    <cs:effectRef idx="0"/>
    <cs:fontRef idx="minor">
      <a:schemeClr val="lt1">
        <a:lumMod val="85000"/>
      </a:schemeClr>
    </cs:fontRef>
    <cs:defRPr sz="900" b="1" kern="1200" cap="all"/>
  </cs:axisTitle>
  <cs:categoryAxis>
    <cs:lnRef idx="0"/>
    <cs:fillRef idx="0"/>
    <cs:effectRef idx="0"/>
    <cs:fontRef idx="minor">
      <a:schemeClr val="lt1">
        <a:lumMod val="85000"/>
      </a:schemeClr>
    </cs:fontRef>
    <cs:spPr>
      <a:ln w="9525" cap="flat" cmpd="sng" algn="ctr">
        <a:solidFill>
          <a:schemeClr val="lt1">
            <a:lumMod val="95000"/>
            <a:alpha val="10000"/>
          </a:schemeClr>
        </a:solidFill>
        <a:round/>
      </a:ln>
    </cs:spPr>
    <cs:defRPr sz="900" kern="120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dk1">
              <a:lumMod val="65000"/>
              <a:lumOff val="35000"/>
            </a:schemeClr>
          </a:gs>
          <a:gs pos="100000">
            <a:schemeClr val="dk1">
              <a:lumMod val="85000"/>
              <a:lumOff val="15000"/>
            </a:schemeClr>
          </a:gs>
        </a:gsLst>
        <a:path path="circle">
          <a:fillToRect l="50000" t="50000" r="50000" b="50000"/>
        </a:path>
        <a:tileRect/>
      </a:gradFill>
    </cs:spPr>
    <cs:defRPr sz="1000" kern="1200"/>
  </cs:chartArea>
  <cs:dataLabel>
    <cs:lnRef idx="0"/>
    <cs:fillRef idx="0"/>
    <cs:effectRef idx="0"/>
    <cs:fontRef idx="minor">
      <a:schemeClr val="lt1">
        <a:lumMod val="8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3"/>
    <cs:fontRef idx="minor">
      <a:schemeClr val="tx1"/>
    </cs:fontRef>
  </cs:dataPoint>
  <cs:dataPoint3D>
    <cs:lnRef idx="0"/>
    <cs:fillRef idx="3">
      <cs:styleClr val="auto"/>
    </cs:fillRef>
    <cs:effectRef idx="3"/>
    <cs:fontRef idx="minor">
      <a:schemeClr val="tx1"/>
    </cs:fontRef>
  </cs:dataPoint3D>
  <cs:dataPointLine>
    <cs:lnRef idx="0">
      <cs:styleClr val="auto"/>
    </cs:lnRef>
    <cs:fillRef idx="3"/>
    <cs:effectRef idx="3"/>
    <cs:fontRef idx="minor">
      <a:schemeClr val="tx1"/>
    </cs:fontRef>
    <cs:spPr>
      <a:ln w="349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3">
      <cs:styleClr val="auto"/>
    </cs:fillRef>
    <cs:effectRef idx="3"/>
    <cs:fontRef idx="minor">
      <a:schemeClr val="tx1"/>
    </cs:fontRef>
    <cs:spPr>
      <a:ln w="9525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3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85000"/>
      </a:schemeClr>
    </cs:fontRef>
    <cs:spPr>
      <a:ln w="9525">
        <a:solidFill>
          <a:schemeClr val="lt1">
            <a:lumMod val="95000"/>
            <a:alpha val="54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>
        <a:solidFill>
          <a:schemeClr val="lt1">
            <a:lumMod val="95000"/>
            <a:alpha val="54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  <a:alpha val="10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>
        <a:solidFill>
          <a:schemeClr val="lt1">
            <a:lumMod val="95000"/>
            <a:alpha val="5000"/>
          </a:schemeClr>
        </a:solidFill>
      </a:ln>
    </cs:spPr>
  </cs:gridlineMinor>
  <cs:hiLo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</a:ln>
    </cs:spPr>
  </cs:leaderLine>
  <cs:legend>
    <cs:lnRef idx="0"/>
    <cs:fillRef idx="0"/>
    <cs:effectRef idx="0"/>
    <cs:fontRef idx="minor">
      <a:schemeClr val="lt1">
        <a:lumMod val="85000"/>
      </a:schemeClr>
    </cs:fontRef>
    <cs:defRPr sz="900" kern="1200"/>
  </cs:legend>
  <cs:plotArea>
    <cs:lnRef idx="0"/>
    <cs:fillRef idx="0"/>
    <cs:effectRef idx="0"/>
    <cs:fontRef idx="minor">
      <a:schemeClr val="tx1"/>
    </cs:fontRef>
  </cs:plotArea>
  <cs:plotArea3D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lt1"/>
    </cs:fontRef>
    <cs:spPr>
      <a:ln w="9525" cap="flat" cmpd="sng" algn="ctr">
        <a:solidFill>
          <a:schemeClr val="lt1">
            <a:lumMod val="95000"/>
            <a:alpha val="54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95000"/>
      </a:schemeClr>
    </cs:fontRef>
    <cs:defRPr sz="1600" b="1" kern="1200" spc="100" baseline="0">
      <a:effectLst>
        <a:outerShdw blurRad="50800" dist="38100" dir="5400000" algn="t" rotWithShape="0">
          <a:prstClr val="black">
            <a:alpha val="40000"/>
          </a:prstClr>
        </a:outerShdw>
      </a:effectLst>
    </cs:defRPr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lt1">
        <a:lumMod val="8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>
        <a:solidFill>
          <a:schemeClr val="lt1">
            <a:lumMod val="95000"/>
            <a:alpha val="54000"/>
          </a:schemeClr>
        </a:solidFill>
      </a:ln>
    </cs:spPr>
  </cs:upBar>
  <cs:valueAxis>
    <cs:lnRef idx="0"/>
    <cs:fillRef idx="0"/>
    <cs:effectRef idx="0"/>
    <cs:fontRef idx="minor">
      <a:schemeClr val="lt1">
        <a:lumMod val="85000"/>
      </a:schemeClr>
    </cs:fontRef>
    <cs:defRPr sz="900" kern="1200"/>
  </cs:valueAxis>
  <cs:wall>
    <cs:lnRef idx="0"/>
    <cs:fillRef idx="0"/>
    <cs:effectRef idx="0"/>
    <cs:fontRef idx="minor">
      <a:schemeClr val="tx1"/>
    </cs:fontRef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3</Pages>
  <Words>254</Words>
  <Characters>1450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NUbots</dc:creator>
  <cp:keywords/>
  <dc:description/>
  <cp:lastModifiedBy>NUbots</cp:lastModifiedBy>
  <cp:revision>1</cp:revision>
  <dcterms:created xsi:type="dcterms:W3CDTF">2019-11-11T00:59:00Z</dcterms:created>
  <dcterms:modified xsi:type="dcterms:W3CDTF">2019-11-11T01:23:00Z</dcterms:modified>
</cp:coreProperties>
</file>