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578"/>
        <w:gridCol w:w="720"/>
        <w:gridCol w:w="270"/>
        <w:gridCol w:w="90"/>
        <w:gridCol w:w="329"/>
        <w:gridCol w:w="192"/>
        <w:gridCol w:w="83"/>
        <w:gridCol w:w="139"/>
        <w:gridCol w:w="93"/>
        <w:gridCol w:w="86"/>
        <w:gridCol w:w="133"/>
        <w:gridCol w:w="143"/>
        <w:gridCol w:w="1396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3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77777777" w:rsidR="00BE4759" w:rsidRDefault="00F972D0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="00BE4759" w:rsidRPr="00BE4759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07F5B68F" w14:textId="77777777" w:rsidR="00BE4759" w:rsidRDefault="00F972D0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="00BE4759"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BE4759">
        <w:trPr>
          <w:trHeight w:val="300"/>
        </w:trPr>
        <w:tc>
          <w:tcPr>
            <w:tcW w:w="9580" w:type="dxa"/>
            <w:gridSpan w:val="10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3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6F4A93">
        <w:trPr>
          <w:trHeight w:val="300"/>
        </w:trPr>
        <w:tc>
          <w:tcPr>
            <w:tcW w:w="7578" w:type="dxa"/>
          </w:tcPr>
          <w:p w14:paraId="4C5E558E" w14:textId="47BDBCEB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3674" w:type="dxa"/>
            <w:gridSpan w:val="12"/>
          </w:tcPr>
          <w:p w14:paraId="757DC89E" w14:textId="77777777" w:rsidR="008C37BC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  <w:p w14:paraId="38F7DAE3" w14:textId="5F1AC5E5" w:rsidR="006F4A93" w:rsidRPr="00492981" w:rsidRDefault="006F4A93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Expected Graduation May 2020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6"/>
          </w:tcPr>
          <w:p w14:paraId="2C377EFB" w14:textId="7777777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proofErr w:type="gramStart"/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  <w:proofErr w:type="gramEnd"/>
          </w:p>
        </w:tc>
        <w:tc>
          <w:tcPr>
            <w:tcW w:w="2073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6F4A93">
        <w:trPr>
          <w:trHeight w:val="1143"/>
        </w:trPr>
        <w:tc>
          <w:tcPr>
            <w:tcW w:w="8658" w:type="dxa"/>
            <w:gridSpan w:val="4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9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3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CE1D3E">
        <w:tc>
          <w:tcPr>
            <w:tcW w:w="9713" w:type="dxa"/>
            <w:gridSpan w:val="11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 xml:space="preserve">Daniel Gordon, Kiana </w:t>
            </w:r>
            <w:proofErr w:type="spellStart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Ehsani</w:t>
            </w:r>
            <w:proofErr w:type="spellEnd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1539" w:type="dxa"/>
            <w:gridSpan w:val="2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CE1D3E" w:rsidRPr="00492981" w14:paraId="52174A41" w14:textId="77777777" w:rsidTr="00CE1D3E">
        <w:tc>
          <w:tcPr>
            <w:tcW w:w="9713" w:type="dxa"/>
            <w:gridSpan w:val="11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9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1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9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0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1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0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0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lastRenderedPageBreak/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lastRenderedPageBreak/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8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0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0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0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F972D0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0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F972D0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8F737AB" w14:textId="77777777" w:rsidTr="008179F3">
        <w:trPr>
          <w:trHeight w:val="70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79A2655E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6E4F72E2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6501DE29" w14:textId="77777777" w:rsidTr="00DB6916">
        <w:trPr>
          <w:trHeight w:val="360"/>
        </w:trPr>
        <w:tc>
          <w:tcPr>
            <w:tcW w:w="8298" w:type="dxa"/>
            <w:gridSpan w:val="2"/>
          </w:tcPr>
          <w:p w14:paraId="6AD2F9B8" w14:textId="0DB675F1" w:rsidR="0062631F" w:rsidRPr="00492981" w:rsidRDefault="0062631F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</w:tc>
        <w:tc>
          <w:tcPr>
            <w:tcW w:w="2954" w:type="dxa"/>
            <w:gridSpan w:val="11"/>
          </w:tcPr>
          <w:p w14:paraId="3AC2FA1C" w14:textId="2BD750FB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B6916" w:rsidRPr="00492981" w14:paraId="17B1D3AD" w14:textId="77777777" w:rsidTr="00DB6916">
        <w:trPr>
          <w:trHeight w:val="360"/>
        </w:trPr>
        <w:tc>
          <w:tcPr>
            <w:tcW w:w="8298" w:type="dxa"/>
            <w:gridSpan w:val="2"/>
          </w:tcPr>
          <w:p w14:paraId="129F1AD5" w14:textId="3C0C54FB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</w:tc>
        <w:tc>
          <w:tcPr>
            <w:tcW w:w="2954" w:type="dxa"/>
            <w:gridSpan w:val="11"/>
          </w:tcPr>
          <w:p w14:paraId="7CD52322" w14:textId="44F522C6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B6916" w:rsidRPr="00492981" w14:paraId="418734A6" w14:textId="77777777" w:rsidTr="00DB6916">
        <w:trPr>
          <w:trHeight w:val="360"/>
        </w:trPr>
        <w:tc>
          <w:tcPr>
            <w:tcW w:w="8298" w:type="dxa"/>
            <w:gridSpan w:val="2"/>
          </w:tcPr>
          <w:p w14:paraId="46E1D1E4" w14:textId="4025080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</w:tc>
        <w:tc>
          <w:tcPr>
            <w:tcW w:w="2954" w:type="dxa"/>
            <w:gridSpan w:val="11"/>
          </w:tcPr>
          <w:p w14:paraId="603DE501" w14:textId="67B31059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B6916" w:rsidRPr="00492981" w14:paraId="65A521BB" w14:textId="77777777" w:rsidTr="00DB6916">
        <w:trPr>
          <w:trHeight w:val="360"/>
        </w:trPr>
        <w:tc>
          <w:tcPr>
            <w:tcW w:w="8298" w:type="dxa"/>
            <w:gridSpan w:val="2"/>
          </w:tcPr>
          <w:p w14:paraId="51D43B04" w14:textId="5B870B8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</w:tc>
        <w:tc>
          <w:tcPr>
            <w:tcW w:w="2954" w:type="dxa"/>
            <w:gridSpan w:val="11"/>
          </w:tcPr>
          <w:p w14:paraId="55E8F8FF" w14:textId="66D355FF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B6916" w:rsidRPr="00492981" w14:paraId="49F4805F" w14:textId="77777777" w:rsidTr="00DB6916">
        <w:trPr>
          <w:trHeight w:val="360"/>
        </w:trPr>
        <w:tc>
          <w:tcPr>
            <w:tcW w:w="8298" w:type="dxa"/>
            <w:gridSpan w:val="2"/>
          </w:tcPr>
          <w:p w14:paraId="45C023BC" w14:textId="0417278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</w:tc>
        <w:tc>
          <w:tcPr>
            <w:tcW w:w="2954" w:type="dxa"/>
            <w:gridSpan w:val="11"/>
          </w:tcPr>
          <w:p w14:paraId="7727B916" w14:textId="54970ACD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B6916" w:rsidRPr="00492981" w14:paraId="492F6853" w14:textId="77777777" w:rsidTr="00DB6916">
        <w:trPr>
          <w:trHeight w:val="360"/>
        </w:trPr>
        <w:tc>
          <w:tcPr>
            <w:tcW w:w="8298" w:type="dxa"/>
            <w:gridSpan w:val="2"/>
          </w:tcPr>
          <w:p w14:paraId="7CD15F58" w14:textId="0753E40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</w:tc>
        <w:tc>
          <w:tcPr>
            <w:tcW w:w="2954" w:type="dxa"/>
            <w:gridSpan w:val="11"/>
          </w:tcPr>
          <w:p w14:paraId="0743A577" w14:textId="41863B48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B6916" w:rsidRPr="00492981" w14:paraId="1D237210" w14:textId="77777777" w:rsidTr="00DB6916">
        <w:trPr>
          <w:trHeight w:val="360"/>
        </w:trPr>
        <w:tc>
          <w:tcPr>
            <w:tcW w:w="8298" w:type="dxa"/>
            <w:gridSpan w:val="2"/>
          </w:tcPr>
          <w:p w14:paraId="02C94850" w14:textId="385F7154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</w:tc>
        <w:tc>
          <w:tcPr>
            <w:tcW w:w="2954" w:type="dxa"/>
            <w:gridSpan w:val="11"/>
          </w:tcPr>
          <w:p w14:paraId="7EE7C953" w14:textId="559D06B5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B6916" w:rsidRPr="00492981" w14:paraId="1CE3D4B1" w14:textId="77777777" w:rsidTr="008179F3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270978F7" w14:textId="77777777" w:rsid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F28AE32" w14:textId="62D8823E" w:rsidR="00DB6916" w:rsidRP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1"/>
            <w:tcBorders>
              <w:bottom w:val="single" w:sz="4" w:space="0" w:color="808080" w:themeColor="background1" w:themeShade="80"/>
            </w:tcBorders>
          </w:tcPr>
          <w:p w14:paraId="06AFAF46" w14:textId="019D619D" w:rsidR="00DB6916" w:rsidRPr="00492981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6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2D66210A" w14:textId="77777777" w:rsidR="0062631F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</w:r>
            <w:bookmarkStart w:id="1" w:name="_GoBack"/>
            <w:r w:rsidRPr="00492981">
              <w:rPr>
                <w:rFonts w:ascii="Palatino Linotype" w:hAnsi="Palatino Linotype"/>
                <w:bCs/>
                <w:color w:val="000000"/>
              </w:rPr>
              <w:t>Research Intern – A-S</w:t>
            </w:r>
            <w:r w:rsidR="00F31192">
              <w:rPr>
                <w:rFonts w:ascii="Palatino Linotype" w:hAnsi="Palatino Linotype"/>
                <w:bCs/>
                <w:color w:val="000000"/>
              </w:rPr>
              <w:t>TAR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Dhruv Batra</w:t>
            </w:r>
            <w:bookmarkEnd w:id="1"/>
          </w:p>
          <w:p w14:paraId="0D09B32A" w14:textId="6A6AEB18" w:rsidR="00F307B0" w:rsidRPr="00F307B0" w:rsidRDefault="00F307B0" w:rsidP="00F307B0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ICCV publication “</w:t>
            </w:r>
            <w:proofErr w:type="spellStart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SplitNet</w:t>
            </w:r>
            <w:proofErr w:type="spellEnd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: Sim2Sim and Task2Task Transfer for Embodied Visual Navigation”</w:t>
            </w:r>
          </w:p>
        </w:tc>
        <w:tc>
          <w:tcPr>
            <w:tcW w:w="2073" w:type="dxa"/>
            <w:gridSpan w:val="7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7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7C875EED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</w:t>
            </w:r>
            <w:r w:rsidR="00F31192">
              <w:rPr>
                <w:rFonts w:ascii="Palatino Linotype" w:hAnsi="Palatino Linotype"/>
                <w:bCs/>
                <w:color w:val="000000"/>
              </w:rPr>
              <w:t>PRIOR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7A1707FE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 xml:space="preserve"> ICCV publication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 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“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Visual Semantic Planning using Deep Successor Representations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”</w:t>
            </w:r>
          </w:p>
        </w:tc>
        <w:tc>
          <w:tcPr>
            <w:tcW w:w="1990" w:type="dxa"/>
            <w:gridSpan w:val="6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0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0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lastRenderedPageBreak/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lastRenderedPageBreak/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0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lastRenderedPageBreak/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0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Washington University Department of Computer Science: </w:t>
            </w:r>
          </w:p>
        </w:tc>
        <w:tc>
          <w:tcPr>
            <w:tcW w:w="1672" w:type="dxa"/>
            <w:gridSpan w:val="3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1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2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0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3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0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5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6C97953C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Tas and 160 students</w:t>
            </w:r>
          </w:p>
        </w:tc>
        <w:tc>
          <w:tcPr>
            <w:tcW w:w="2265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3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0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0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0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2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Caffe, TensorFlow,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Google Closure, Git, HTML, CSS</w:t>
            </w:r>
          </w:p>
          <w:p w14:paraId="006D84D4" w14:textId="45D08EDB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</w:p>
          <w:p w14:paraId="405151E7" w14:textId="776D948E" w:rsidR="00F17645" w:rsidRPr="00401A1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JQuery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LaTeX</w:t>
            </w:r>
            <w:r w:rsidR="00401A11">
              <w:rPr>
                <w:rFonts w:ascii="Palatino Linotype" w:hAnsi="Palatino Linotype"/>
                <w:bCs/>
              </w:rPr>
              <w:t xml:space="preserve">, </w:t>
            </w:r>
            <w:r w:rsidR="00401A11" w:rsidRPr="00492981">
              <w:rPr>
                <w:rFonts w:ascii="Palatino Linotype" w:hAnsi="Palatino Linotype"/>
                <w:bCs/>
              </w:rPr>
              <w:t>Unix Terminal</w:t>
            </w:r>
          </w:p>
        </w:tc>
        <w:tc>
          <w:tcPr>
            <w:tcW w:w="1396" w:type="dxa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0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0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Deep Learning Class </w:t>
            </w: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Numpy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 xml:space="preserve">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3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0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SplitNet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3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0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3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0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AI2-THOR: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3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0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Re3: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3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0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5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0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23AC"/>
    <w:multiLevelType w:val="hybridMultilevel"/>
    <w:tmpl w:val="4BD46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C65AE"/>
    <w:rsid w:val="00BD138E"/>
    <w:rsid w:val="00BE4759"/>
    <w:rsid w:val="00C4785D"/>
    <w:rsid w:val="00C5061D"/>
    <w:rsid w:val="00C70801"/>
    <w:rsid w:val="00C87936"/>
    <w:rsid w:val="00C96FA5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17645"/>
    <w:rsid w:val="00F2207D"/>
    <w:rsid w:val="00F307B0"/>
    <w:rsid w:val="00F31192"/>
    <w:rsid w:val="00F51D48"/>
    <w:rsid w:val="00F972D0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allenai/ai2thor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habitat-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kcd@cs.washington.edu" TargetMode="External"/><Relationship Id="rId11" Type="http://schemas.openxmlformats.org/officeDocument/2006/relationships/hyperlink" Target="https://github.com/facebookresearch/split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gordon10/thor-iqa-cvpr-2018" TargetMode="External"/><Relationship Id="rId10" Type="http://schemas.openxmlformats.org/officeDocument/2006/relationships/hyperlink" Target="https://gitlab.com/danielgordon10/dl-class-201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lab.com/danielgordon10/re3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39426-A9CC-4447-8137-B8D347C5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18</cp:revision>
  <cp:lastPrinted>2020-03-20T23:04:00Z</cp:lastPrinted>
  <dcterms:created xsi:type="dcterms:W3CDTF">2019-08-02T23:27:00Z</dcterms:created>
  <dcterms:modified xsi:type="dcterms:W3CDTF">2020-03-20T23:25:00Z</dcterms:modified>
</cp:coreProperties>
</file>