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40"/>
        <w:jc w:val="center"/>
      </w:pPr>
      <w:r>
        <w:rPr>
          <w:rFonts w:ascii="Georgia" w:cs="Georgia" w:eastAsia="Georgia" w:hAnsi="Georgia"/>
          <w:b/>
          <w:bCs/>
          <w:caps/>
          <w:color w:val="627EEA"/>
          <w:sz w:val="18"/>
          <w:szCs w:val="18"/>
        </w:rPr>
        <w:t xml:space="preserve">ESTUDO DE CASO</w:t>
      </w:r>
    </w:p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2C3E7A"/>
          <w:sz w:val="38"/>
          <w:szCs w:val="38"/>
        </w:rPr>
        <w:t xml:space="preserve">Ethereum EIP-1559:</w:t>
      </w:r>
    </w:p>
    <w:p>
      <w:pPr>
        <w:spacing w:before="0" w:after="40"/>
        <w:jc w:val="center"/>
      </w:pPr>
      <w:r>
        <w:rPr>
          <w:rFonts w:ascii="Georgia" w:cs="Georgia" w:eastAsia="Georgia" w:hAnsi="Georgia"/>
          <w:color w:val="444444"/>
          <w:sz w:val="22"/>
          <w:szCs w:val="22"/>
        </w:rPr>
        <w:t xml:space="preserve">Mecanismo de Queima, Períodos Deflacionários e Implicações para Investidores</w:t>
      </w:r>
    </w:p>
    <w:p>
      <w:pPr>
        <w:spacing w:before="20" w:after="100"/>
        <w:jc w:val="center"/>
      </w:pPr>
      <w:r>
        <w:rPr>
          <w:rFonts w:ascii="Georgia" w:cs="Georgia" w:eastAsia="Georgia" w:hAnsi="Georgia"/>
          <w:i/>
          <w:iCs/>
          <w:color w:val="999999"/>
          <w:sz w:val="17"/>
          <w:szCs w:val="17"/>
        </w:rPr>
        <w:t xml:space="preserve">Dados: ultrasound.money (snapshot: fevereiro de 2026)  |  Aula 02 — Design Econômico</w:t>
      </w:r>
    </w:p>
    <w:p>
      <w:pPr>
        <w:pBdr>
          <w:bottom w:val="single" w:color="627EEA" w:sz="4" w:space="1"/>
        </w:pBdr>
        <w:spacing w:before="120" w:after="120"/>
      </w:pPr>
    </w:p>
    <w:p>
      <w:pPr>
        <w:pStyle w:val="Heading1"/>
        <w:spacing w:before="200" w:after="80"/>
      </w:pPr>
      <w:r>
        <w:rPr>
          <w:b/>
          <w:bCs/>
        </w:rPr>
        <w:t xml:space="preserve">1. O Mecanismo de Queima do ETH</w:t>
      </w:r>
    </w:p>
    <w:p>
      <w:pPr>
        <w:spacing w:before="6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London Hard Fork</w:t>
      </w:r>
      <w:r>
        <w:rPr>
          <w:rFonts w:ascii="Georgia" w:cs="Georgia" w:eastAsia="Georgia" w:hAnsi="Georgia"/>
          <w:sz w:val="22"/>
          <w:szCs w:val="22"/>
        </w:rPr>
        <w:t xml:space="preserve"> (agosto de 2021) introduziu o EIP-1559, substituindo o modelo de leilão puro por dois componentes: uma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taxa base</w:t>
      </w:r>
      <w:r>
        <w:rPr>
          <w:rFonts w:ascii="Georgia" w:cs="Georgia" w:eastAsia="Georgia" w:hAnsi="Georgia"/>
          <w:sz w:val="22"/>
          <w:szCs w:val="22"/>
        </w:rPr>
        <w:t xml:space="preserve">, definida algoritmicamente pelo protocolo conforme a demanda por espaço em bloco, e uma gorjeta opcional paga ao validador. O ponto central da mudança foi o destino da taxa base: em vez de remunerar mineradores, ela é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destruída permanentemente</w:t>
      </w:r>
      <w:r>
        <w:rPr>
          <w:rFonts w:ascii="Georgia" w:cs="Georgia" w:eastAsia="Georgia" w:hAnsi="Georgia"/>
          <w:sz w:val="22"/>
          <w:szCs w:val="22"/>
        </w:rPr>
        <w:t xml:space="preserve">. Cada unidade de gás consumida na rede resulta na queima da base fee correspondente, retirando ETH de circulação de forma definitiva — criando um fluxo contínuo de contração de oferta diretamente vinculado ao uso da rede.</w:t>
      </w:r>
    </w:p>
    <w:p>
      <w:pPr>
        <w:spacing w:before="6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 equilíbrio monetário é definido por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ΔSupply = Emissão − Queima</w:t>
      </w:r>
      <w:r>
        <w:rPr>
          <w:rFonts w:ascii="Georgia" w:cs="Georgia" w:eastAsia="Georgia" w:hAnsi="Georgia"/>
          <w:sz w:val="22"/>
          <w:szCs w:val="22"/>
        </w:rPr>
        <w:t xml:space="preserve">. Quando a queima supera a emissão diária aos validadores (~1.700 ETH/dia desde o The Merge, setembro de 2022), o supply líquido cai. Conforme dados do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ultrasound.money</w:t>
      </w:r>
      <w:r>
        <w:rPr>
          <w:rFonts w:ascii="Georgia" w:cs="Georgia" w:eastAsia="Georgia" w:hAnsi="Georgia"/>
          <w:sz w:val="22"/>
          <w:szCs w:val="22"/>
        </w:rPr>
        <w:t xml:space="preserve"> (snapshot de fevereiro de 2026), mais de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4,4 milhões de ETH foram destruídos</w:t>
      </w:r>
      <w:r>
        <w:rPr>
          <w:rFonts w:ascii="Georgia" w:cs="Georgia" w:eastAsia="Georgia" w:hAnsi="Georgia"/>
          <w:sz w:val="22"/>
          <w:szCs w:val="22"/>
        </w:rPr>
        <w:t xml:space="preserve"> desde agosto de 2021 — valor expressivo que deve ser interpretado à luz do preço médio do período, dado que sua equivalência em dólares varia conforme a cotação de referência adotada.</w:t>
      </w:r>
    </w:p>
    <w:p>
      <w:pPr>
        <w:pStyle w:val="Heading1"/>
        <w:spacing w:before="200" w:after="80"/>
      </w:pPr>
      <w:r>
        <w:rPr>
          <w:b/>
          <w:bCs/>
        </w:rPr>
        <w:t xml:space="preserve">2. Períodos Deflacionários vs. Inflacionários</w:t>
      </w:r>
    </w:p>
    <w:p>
      <w:pPr>
        <w:spacing w:before="6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 relação entre emissão e queima variou em função dos ciclos de mercado e de atualizações estruturais da rede. A tabela abaixo apresenta os principais períodos com dados reais: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706"/>
        <w:gridCol w:w="182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Queima/dia (ETH)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Emissão/dia (ETH)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Supply líquido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Ago–Dez 2021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Bull market: DeFi e NFTs em alta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8.000–20.000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~13.000 (PoW)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4A00"/>
                <w:sz w:val="19"/>
                <w:szCs w:val="19"/>
              </w:rPr>
              <w:t xml:space="preserve">Predom. inflacionário¹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Set 2022 (Merge)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Transição para Proof-of-Stake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4.000–6.000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~1.700 (PoS)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6B2E"/>
                <w:sz w:val="19"/>
                <w:szCs w:val="19"/>
              </w:rPr>
              <w:t xml:space="preserve">Deflacionário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Nov 2022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Crise pós-FTX, baixa atividade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1.000–1.500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~1.700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8B4A00"/>
                <w:sz w:val="19"/>
                <w:szCs w:val="19"/>
              </w:rPr>
              <w:t xml:space="preserve">Inflacionário leve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Mar–Mai 2023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Ressurgimento com novos projetos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3.000–5.000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~1.700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6B2E"/>
                <w:sz w:val="19"/>
                <w:szCs w:val="19"/>
              </w:rPr>
              <w:t xml:space="preserve">Deflacionário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Crescimento das redes Layer 2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2.000–3.500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~1.700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Variável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Jan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Alta atividade L1 + L2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3.500–5.000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 w:val="false"/>
                <w:bCs w:val="false"/>
                <w:color w:val="000000"/>
                <w:sz w:val="19"/>
                <w:szCs w:val="19"/>
              </w:rPr>
              <w:t xml:space="preserve">~1.700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B6B2E"/>
                <w:sz w:val="19"/>
                <w:szCs w:val="19"/>
              </w:rPr>
              <w:t xml:space="preserve">Deflacionário</w:t>
            </w:r>
          </w:p>
        </w:tc>
      </w:tr>
    </w:tbl>
    <w:p>
      <w:pPr>
        <w:spacing w:before="60" w:after="40"/>
      </w:pPr>
    </w:p>
    <w:p>
      <w:pPr>
        <w:spacing w:before="20" w:after="80"/>
        <w:jc w:val="both"/>
      </w:pP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¹ Agosto–Dezembro 2021: embora a emissão PoW fosse estruturalmente elevada (~13.000 ETH/dia), a queima atingiu picos superiores durante episódios de alta atividade em DeFi e NFTs, gerando dias ou semanas com supply líquido negativo. O regime era predominantemente inflacionário, mas com episódios deflacionários relevantes.</w:t>
      </w:r>
    </w:p>
    <w:p>
      <w:pPr>
        <w:spacing w:before="6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 ponto de inflexão mais significativo foi o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The Merge</w:t>
      </w:r>
      <w:r>
        <w:rPr>
          <w:rFonts w:ascii="Georgia" w:cs="Georgia" w:eastAsia="Georgia" w:hAnsi="Georgia"/>
          <w:sz w:val="22"/>
          <w:szCs w:val="22"/>
        </w:rPr>
        <w:t xml:space="preserve"> (setembro de 2022), que reduziu a emissão em ~90% — de ~13.000 para ~1.700 ETH/dia. A partir desse momento, qualquer atividade moderada na rede é suficiente para que a queima supere a criação. Em bear markets com baixa utilização, a emissão supera a queima, tornando o ETH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levemente inflacionário (~0,1–0,3% ao ano)</w:t>
      </w:r>
      <w:r>
        <w:rPr>
          <w:rFonts w:ascii="Georgia" w:cs="Georgia" w:eastAsia="Georgia" w:hAnsi="Georgia"/>
          <w:sz w:val="22"/>
          <w:szCs w:val="22"/>
        </w:rPr>
        <w:t xml:space="preserve"> — residual, mas economicamente relevante para análise de longo prazo. Formalmente, a taxa de inflação anualizada pode ser estimada por:</w:t>
      </w:r>
    </w:p>
    <w:p>
      <w:pPr>
        <w:spacing w:before="60" w:after="60"/>
        <w:jc w:val="center"/>
      </w:pPr>
      <w:r>
        <w:rPr>
          <w:rFonts w:ascii="Georgia" w:cs="Georgia" w:eastAsia="Georgia" w:hAnsi="Georgia"/>
          <w:b/>
          <w:bCs/>
          <w:i/>
          <w:iCs/>
          <w:color w:val="2C3E7A"/>
          <w:sz w:val="21"/>
          <w:szCs w:val="21"/>
        </w:rPr>
        <w:t xml:space="preserve">Taxa de Inflação Anualizada = (Emissão − Queima) × 365 / Supply Total</w:t>
      </w:r>
    </w:p>
    <w:p>
      <w:pPr>
        <w:spacing w:before="4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Aplicando os valores de bear market (~1.700 ETH emitidos e ~1.200 queimados/dia, sobre um supply de ~120 milhões de ETH):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inflação ≈ 0,15% a.a.</w:t>
      </w:r>
      <w:r>
        <w:rPr>
          <w:rFonts w:ascii="Georgia" w:cs="Georgia" w:eastAsia="Georgia" w:hAnsi="Georgia"/>
          <w:sz w:val="22"/>
          <w:szCs w:val="22"/>
        </w:rPr>
        <w:t xml:space="preserve"> — confirmando o caráter residual do regime inflacionário no contexto pós-Merge.</w:t>
      </w:r>
    </w:p>
    <w:p>
      <w:pPr>
        <w:pStyle w:val="Heading1"/>
        <w:spacing w:before="200" w:after="80"/>
      </w:pPr>
      <w:r>
        <w:rPr>
          <w:b/>
          <w:bCs/>
        </w:rPr>
        <w:t xml:space="preserve">3. Implicações para Investidores</w:t>
      </w:r>
    </w:p>
    <w:p>
      <w:pPr>
        <w:spacing w:before="6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O EIP-1559 introduziu um modelo de oferta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endogenamente dependente da demanda</w:t>
      </w:r>
      <w:r>
        <w:rPr>
          <w:rFonts w:ascii="Georgia" w:cs="Georgia" w:eastAsia="Georgia" w:hAnsi="Georgia"/>
          <w:sz w:val="22"/>
          <w:szCs w:val="22"/>
        </w:rPr>
        <w:t xml:space="preserve"> pelo uso da rede — característica incomum entre ativos de grande capitalização. O Bitcoin, por comparação, possui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política monetária exógena e predeterminada</w:t>
      </w:r>
      <w:r>
        <w:rPr>
          <w:rFonts w:ascii="Georgia" w:cs="Georgia" w:eastAsia="Georgia" w:hAnsi="Georgia"/>
          <w:sz w:val="22"/>
          <w:szCs w:val="22"/>
        </w:rPr>
        <w:t xml:space="preserve">: a emissão segue um calendário fixo de halvings, independente do volume de transações. Essa distinção é importante: no Bitcoin, a política monetária é imutável por design, o que confere alta previsibilidade ao investidor de longo prazo; no Ethereum, o supply responde ao ciclo de uso, criando um ativo com maior potencial deflacionário, mas com menor previsibilidade estrutural.</w:t>
      </w:r>
    </w:p>
    <w:p>
      <w:pPr>
        <w:spacing w:before="6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Isso torna a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taxa de queima um indicador antecedente</w:t>
      </w:r>
      <w:r>
        <w:rPr>
          <w:rFonts w:ascii="Georgia" w:cs="Georgia" w:eastAsia="Georgia" w:hAnsi="Georgia"/>
          <w:sz w:val="22"/>
          <w:szCs w:val="22"/>
        </w:rPr>
        <w:t xml:space="preserve"> relevante: picos de queima tendem a coincidir com períodos de maior atividade econômica na rede, frequentemente associados a ciclos de valorização do ativo — ambos refletem a mesma variável subjacente: demanda pelo uso da infraestrutura. Monitorar o diferencial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Queima − Emissão</w:t>
      </w:r>
      <w:r>
        <w:rPr>
          <w:rFonts w:ascii="Georgia" w:cs="Georgia" w:eastAsia="Georgia" w:hAnsi="Georgia"/>
          <w:sz w:val="22"/>
          <w:szCs w:val="22"/>
        </w:rPr>
        <w:t xml:space="preserve"> no ultrasound.money funciona como termômetro do regime monetário vigente.</w:t>
      </w:r>
    </w:p>
    <w:p>
      <w:pPr>
        <w:spacing w:before="60" w:after="8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Três riscos estruturais merecem atenção específica:</w:t>
      </w:r>
    </w:p>
    <w:p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Deflação dependente de uso: </w:t>
      </w:r>
      <w:r>
        <w:rPr>
          <w:rFonts w:ascii="Georgia" w:cs="Georgia" w:eastAsia="Georgia" w:hAnsi="Georgia"/>
          <w:sz w:val="22"/>
          <w:szCs w:val="22"/>
        </w:rPr>
        <w:t xml:space="preserve">em bear markets prolongados, a queima pode ficar abaixo da emissão, gerando inflação residual. O ETH não oferece a garantia de escassez absoluta do Bitcoin — sua contração de oferta é condicional à atividade econômica da rede.</w:t>
      </w:r>
    </w:p>
    <w:p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Compressão do burn marginal via Layer 2: </w:t>
      </w:r>
      <w:r>
        <w:rPr>
          <w:rFonts w:ascii="Georgia" w:cs="Georgia" w:eastAsia="Georgia" w:hAnsi="Georgia"/>
          <w:sz w:val="22"/>
          <w:szCs w:val="22"/>
        </w:rPr>
        <w:t xml:space="preserve">redes como Arbitrum, Base e Optimism reduzem a queima por unidade de atividade econômica. Cada transação em uma L2 ainda gera queima ao publicar dados no L1, mas em intensidade significativamente menor. O risco não é a eliminação da queima, mas sua compressão estrutural à medida que o volume migra para essas camadas.</w:t>
      </w:r>
    </w:p>
    <w:p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Risco de protocolo: </w:t>
      </w:r>
      <w:r>
        <w:rPr>
          <w:rFonts w:ascii="Georgia" w:cs="Georgia" w:eastAsia="Georgia" w:hAnsi="Georgia"/>
          <w:sz w:val="22"/>
          <w:szCs w:val="22"/>
        </w:rPr>
        <w:t xml:space="preserve">diferentemente do Bitcoin, o Ethereum mantém governança evolutiva. Futuras atualizações podem alterar as regras de queima ou emissão, modificando a equação econômica analisada aqui — fator que o investidor de longo prazo deve incorporar à sua análise de risco.</w:t>
      </w:r>
    </w:p>
    <w:p>
      <w:pPr>
        <w:spacing w:before="80" w:after="10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Em síntese, o ETH pós-EIP-1559 oferece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maior potencial deflacionário que o Bitcoin</w:t>
      </w:r>
      <w:r>
        <w:rPr>
          <w:rFonts w:ascii="Georgia" w:cs="Georgia" w:eastAsia="Georgia" w:hAnsi="Georgia"/>
          <w:sz w:val="22"/>
          <w:szCs w:val="22"/>
        </w:rPr>
        <w:t xml:space="preserve">, mas com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menor previsibilidade monetária</w:t>
      </w:r>
      <w:r>
        <w:rPr>
          <w:rFonts w:ascii="Georgia" w:cs="Georgia" w:eastAsia="Georgia" w:hAnsi="Georgia"/>
          <w:sz w:val="22"/>
          <w:szCs w:val="22"/>
        </w:rPr>
        <w:t xml:space="preserve">. A hipótese implícita na tese de investimento é que a adoção crescente da rede manterá o supply neutro ou em queda — premissa que o ultrasound.money permite monitorar em tempo real e que deve orientar qualquer análise de posicionamento no ativo.</w:t>
      </w:r>
    </w:p>
    <w:p>
      <w:pPr>
        <w:pBdr>
          <w:bottom w:val="single" w:color="627EEA" w:sz="4" w:space="1"/>
        </w:pBdr>
        <w:spacing w:before="120" w:after="120"/>
      </w:pPr>
    </w:p>
    <w:p>
      <w:pPr>
        <w:spacing w:before="60" w:after="50"/>
      </w:pPr>
      <w:r>
        <w:rPr>
          <w:rFonts w:ascii="Georgia" w:cs="Georgia" w:eastAsia="Georgia" w:hAnsi="Georgia"/>
          <w:b/>
          <w:bCs/>
          <w:color w:val="2C3E7A"/>
          <w:sz w:val="21"/>
          <w:szCs w:val="21"/>
        </w:rPr>
        <w:t xml:space="preserve">Referências</w:t>
      </w:r>
    </w:p>
    <w:p>
      <w:pPr>
        <w:spacing w:before="30" w:after="25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Ethereum Foundation. EIP-1559: Fee market change. eips.ethereum.org/EIPS/eip-1559</w:t>
      </w:r>
    </w:p>
    <w:p>
      <w:pPr>
        <w:spacing w:before="25" w:after="25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Ultrasound Money. ETH supply tracker (snapshot: fev. 2026). ultrasound.money</w:t>
      </w:r>
    </w:p>
    <w:p>
      <w:pPr>
        <w:spacing w:before="25" w:after="25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Ethereum Foundation. The Merge. ethereum.org/en/roadmap/merge</w:t>
      </w:r>
    </w:p>
    <w:p>
      <w:pPr>
        <w:spacing w:before="25" w:after="25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Roughgarden, T. (2021). Transaction Fee Mechanism Design for the Ethereum Blockchain. arXiv:2012.00854.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27EEA" w:sz="4" w:space="6"/>
      </w:pBdr>
      <w:tabs>
        <w:tab w:val="right" w:pos="9026"/>
      </w:tabs>
      <w:spacing w:before="80"/>
    </w:pPr>
    <w:r>
      <w:rPr>
        <w:rFonts w:ascii="Georgia" w:cs="Georgia" w:eastAsia="Georgia" w:hAnsi="Georgia"/>
        <w:color w:val="888888"/>
        <w:sz w:val="17"/>
        <w:szCs w:val="17"/>
      </w:rPr>
      <w:t xml:space="preserve">Fevereiro de 2026</w:t>
    </w:r>
    <w:r>
      <w:t xml:space="preserve">	</w:t>
    </w:r>
    <w:r>
      <w:rPr>
        <w:rFonts w:ascii="Georgia" w:cs="Georgia" w:eastAsia="Georgia" w:hAnsi="Georgia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27EEA" w:sz="4" w:space="6"/>
      </w:pBdr>
      <w:spacing w:after="80"/>
    </w:pPr>
    <w:r>
      <w:rPr>
        <w:rFonts w:ascii="Georgia" w:cs="Georgia" w:eastAsia="Georgia" w:hAnsi="Georgia"/>
        <w:color w:val="888888"/>
        <w:sz w:val="17"/>
        <w:szCs w:val="17"/>
      </w:rPr>
      <w:t xml:space="preserve">Estudo de Caso: Ethereum EIP-1559  |  Aula 02 — Design Econômico e Sustentabilidade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80"/>
      <w:outlineLvl w:val="0"/>
    </w:pPr>
    <w:rPr>
      <w:rFonts w:ascii="Georgia" w:cs="Georgia" w:eastAsia="Georgia" w:hAnsi="Georgia"/>
      <w:b/>
      <w:bCs/>
      <w:color w:val="2C3E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2026-02-28T01:28:14.373Z</dcterms:created>
  <dcterms:modified xsi:type="dcterms:W3CDTF">2026-02-28T01:28:14.374Z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