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" w:after="6"/>
        <w:jc w:val="center"/>
      </w:pPr>
      <w:r>
        <w:rPr>
          <w:rFonts w:ascii="Calibri" w:cs="Calibri" w:eastAsia="Calibri" w:hAnsi="Calibri"/>
          <w:b/>
          <w:bCs/>
          <w:color w:val="1E1A4A"/>
          <w:sz w:val="36"/>
          <w:szCs w:val="36"/>
        </w:rPr>
        <w:t xml:space="preserve">Pragma Token (PGM)</w:t>
      </w:r>
    </w:p>
    <w:p>
      <w:pPr>
        <w:spacing w:before="0" w:after="3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Token de utilidade para marketplace descentralizado de serviços Web3</w:t>
      </w:r>
    </w:p>
    <w:tbl>
      <w:tblPr>
        <w:tblpPr w:tblpX="2203" w:horzAnchor="margin"/>
        <w:tblW w:type="dxa" w:w="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A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B2FA0"/>
                <w:sz w:val="16"/>
                <w:szCs w:val="16"/>
              </w:rPr>
              <w:t xml:space="preserve">ERC-20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B2E"/>
                <w:sz w:val="16"/>
                <w:szCs w:val="16"/>
              </w:rPr>
              <w:t xml:space="preserve">Utilidade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4A00"/>
                <w:sz w:val="16"/>
                <w:szCs w:val="16"/>
              </w:rPr>
              <w:t xml:space="preserve">Pagamento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8F3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B1D5E"/>
                <w:sz w:val="16"/>
                <w:szCs w:val="16"/>
              </w:rPr>
              <w:t xml:space="preserve">Acesso</w:t>
            </w:r>
          </w:p>
        </w:tc>
      </w:tr>
    </w:tbl>
    <w:p>
      <w:pPr>
        <w:spacing w:before="50" w:after="0"/>
      </w:pPr>
    </w:p>
    <w:p>
      <w:pPr>
        <w:shd w:fill="5B4FCF" w:val="clear"/>
        <w:spacing w:before="100" w:after="40"/>
      </w:pPr>
      <w:r>
        <w:rPr>
          <w:rFonts w:ascii="Calibri" w:cs="Calibri" w:eastAsia="Calibri" w:hAnsi="Calibri"/>
          <w:b/>
          <w:bCs/>
          <w:color w:val="FFFFFF"/>
          <w:sz w:val="17"/>
          <w:szCs w:val="17"/>
        </w:rPr>
        <w:t xml:space="preserve">  1. PROBLEMA &amp; PROPOSTA DE VALOR</w:t>
      </w:r>
    </w:p>
    <w:p>
      <w:pPr>
        <w:spacing w:before="30" w:after="30"/>
        <w:jc w:val="both"/>
      </w:pPr>
      <w:r>
        <w:rPr>
          <w:rFonts w:ascii="Calibri" w:cs="Calibri" w:eastAsia="Calibri" w:hAnsi="Calibri"/>
          <w:sz w:val="18"/>
          <w:szCs w:val="18"/>
        </w:rPr>
        <w:t xml:space="preserve">O marketplace Pragma conecta compradores e prestadores de serviços Web3 (desenvolvimento, auditorias, consultoria) em um ambiente descentralizado. Sem token nativo, as transações não retêm valor no ecossistema nem criam incentivo de fidelidade. O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PGM</w:t>
      </w:r>
      <w:r>
        <w:rPr>
          <w:rFonts w:ascii="Calibri" w:cs="Calibri" w:eastAsia="Calibri" w:hAnsi="Calibri"/>
          <w:sz w:val="18"/>
          <w:szCs w:val="18"/>
        </w:rPr>
        <w:t xml:space="preserve"> resolve isso ao ser o meio de troca e a chave de acesso da plataforma, alinhando todos os participantes ao crescimento do protocolo.</w:t>
      </w:r>
    </w:p>
    <w:p>
      <w:pPr>
        <w:shd w:fill="5B4FCF" w:val="clear"/>
        <w:spacing w:before="100" w:after="40"/>
      </w:pPr>
      <w:r>
        <w:rPr>
          <w:rFonts w:ascii="Calibri" w:cs="Calibri" w:eastAsia="Calibri" w:hAnsi="Calibri"/>
          <w:b/>
          <w:bCs/>
          <w:color w:val="FFFFFF"/>
          <w:sz w:val="17"/>
          <w:szCs w:val="17"/>
        </w:rPr>
        <w:t xml:space="preserve">  2. ARQUITETURA DO TOKEN</w:t>
      </w:r>
    </w:p>
    <w:tbl>
      <w:tblPr>
        <w:tblW w:type="dxa" w:w="9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AFF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before="0" w:after="0"/>
              <w:jc w:val="both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Nome</w:t>
            </w:r>
          </w:p>
        </w:tc>
        <w:tc>
          <w:tcPr>
            <w:tcW w:type="dxa" w:w="7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before="0" w:after="0"/>
              <w:jc w:val="both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Pragma Token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before="0" w:after="0"/>
              <w:jc w:val="both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Símbolo</w:t>
            </w:r>
          </w:p>
        </w:tc>
        <w:tc>
          <w:tcPr>
            <w:tcW w:type="dxa" w:w="7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before="0" w:after="0"/>
              <w:jc w:val="both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PGM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AFF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before="0" w:after="0"/>
              <w:jc w:val="both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Padrão</w:t>
            </w:r>
          </w:p>
        </w:tc>
        <w:tc>
          <w:tcPr>
            <w:tcW w:type="dxa" w:w="7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before="0" w:after="0"/>
              <w:jc w:val="both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ERC-20 — Ethereum (Sepolia Testnet)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before="0" w:after="0"/>
              <w:jc w:val="both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Supply total</w:t>
            </w:r>
          </w:p>
        </w:tc>
        <w:tc>
          <w:tcPr>
            <w:tcW w:type="dxa" w:w="7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before="0" w:after="0"/>
              <w:jc w:val="both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10.000.000 PGM — fixo, sem mint após deploy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AFF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before="0" w:after="0"/>
              <w:jc w:val="both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7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before="0" w:after="0"/>
              <w:jc w:val="both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Token de utilidade (utility token)</w:t>
            </w:r>
          </w:p>
        </w:tc>
      </w:tr>
    </w:tbl>
    <w:p>
      <w:pPr>
        <w:shd w:fill="5B4FCF" w:val="clear"/>
        <w:spacing w:before="100" w:after="40"/>
      </w:pPr>
      <w:r>
        <w:rPr>
          <w:rFonts w:ascii="Calibri" w:cs="Calibri" w:eastAsia="Calibri" w:hAnsi="Calibri"/>
          <w:b/>
          <w:bCs/>
          <w:color w:val="FFFFFF"/>
          <w:sz w:val="17"/>
          <w:szCs w:val="17"/>
        </w:rPr>
        <w:t xml:space="preserve">  3. FUNÇÕES DO TOKEN</w:t>
      </w:r>
    </w:p>
    <w:p>
      <w:pPr>
        <w:spacing w:before="25" w:after="20"/>
        <w:jc w:val="both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Pagamento: </w:t>
      </w:r>
      <w:r>
        <w:rPr>
          <w:rFonts w:ascii="Calibri" w:cs="Calibri" w:eastAsia="Calibri" w:hAnsi="Calibri"/>
          <w:sz w:val="18"/>
          <w:szCs w:val="18"/>
        </w:rPr>
        <w:t xml:space="preserve">todas as transações do marketplace são liquidadas em PGM. A plataforma retém 2% por operação para a reserva do ecossistema.</w:t>
      </w:r>
    </w:p>
    <w:p>
      <w:pPr>
        <w:spacing w:before="0" w:after="25"/>
        <w:jc w:val="both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Acesso (utility gate): </w:t>
      </w:r>
      <w:r>
        <w:rPr>
          <w:rFonts w:ascii="Calibri" w:cs="Calibri" w:eastAsia="Calibri" w:hAnsi="Calibri"/>
          <w:sz w:val="18"/>
          <w:szCs w:val="18"/>
        </w:rPr>
        <w:t xml:space="preserve">prestadores com 500+ PGM desbloqueiam taxa reduzida (1%), destaque nas listagens e prioridade em novos clientes. Compradores com 200+ PGM acessam prestadores verificados.</w:t>
      </w:r>
    </w:p>
    <w:p>
      <w:pPr>
        <w:shd w:fill="5B4FCF" w:val="clear"/>
        <w:spacing w:before="100" w:after="40"/>
      </w:pPr>
      <w:r>
        <w:rPr>
          <w:rFonts w:ascii="Calibri" w:cs="Calibri" w:eastAsia="Calibri" w:hAnsi="Calibri"/>
          <w:b/>
          <w:bCs/>
          <w:color w:val="FFFFFF"/>
          <w:sz w:val="17"/>
          <w:szCs w:val="17"/>
        </w:rPr>
        <w:t xml:space="preserve">  4. SUPPLY E DISTRIBUIÇÃO — 10.000.000 PGM</w:t>
      </w:r>
    </w:p>
    <w:tbl>
      <w:tblPr>
        <w:tblW w:type="dxa" w:w="9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1800"/>
        <w:gridCol w:w="390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A4A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Destinação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A4A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A4A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Tokens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A4A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Vesting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100"/>
              <w:bottom w:type="dxa" w:w="35"/>
              <w:right w:type="dxa" w:w="60"/>
            </w:tcMar>
          </w:tcPr>
          <w:p>
            <w:pPr>
              <w:spacing w:before="0" w:after="0"/>
              <w:jc w:val="both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Venda Pública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27EEA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40%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4.000.000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before="0" w:after="0"/>
              <w:jc w:val="both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Sem vesting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35"/>
              <w:left w:type="dxa" w:w="100"/>
              <w:bottom w:type="dxa" w:w="35"/>
              <w:right w:type="dxa" w:w="60"/>
            </w:tcMar>
          </w:tcPr>
          <w:p>
            <w:pPr>
              <w:spacing w:before="0" w:after="0"/>
              <w:jc w:val="both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Ecossistema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8A4A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30%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3.000.000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before="0" w:after="0"/>
              <w:jc w:val="both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Liberação gradual conforme uso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100"/>
              <w:bottom w:type="dxa" w:w="35"/>
              <w:right w:type="dxa" w:w="60"/>
            </w:tcMar>
          </w:tcPr>
          <w:p>
            <w:pPr>
              <w:spacing w:before="0" w:after="0"/>
              <w:jc w:val="both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Equipe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10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20%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2.000.000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before="0" w:after="0"/>
              <w:jc w:val="both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 meses cliff + 24 meses linear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35"/>
              <w:left w:type="dxa" w:w="100"/>
              <w:bottom w:type="dxa" w:w="35"/>
              <w:right w:type="dxa" w:w="60"/>
            </w:tcMar>
          </w:tcPr>
          <w:p>
            <w:pPr>
              <w:spacing w:before="0" w:after="0"/>
              <w:jc w:val="both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Reserva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A9A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10%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1.000.000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spacing w:before="0" w:after="0"/>
              <w:jc w:val="both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 meses cliff</w:t>
            </w:r>
          </w:p>
        </w:tc>
      </w:tr>
    </w:tbl>
    <w:p>
      <w:pPr>
        <w:shd w:fill="5B4FCF" w:val="clear"/>
        <w:spacing w:before="100" w:after="40"/>
      </w:pPr>
      <w:r>
        <w:rPr>
          <w:rFonts w:ascii="Calibri" w:cs="Calibri" w:eastAsia="Calibri" w:hAnsi="Calibri"/>
          <w:b/>
          <w:bCs/>
          <w:color w:val="FFFFFF"/>
          <w:sz w:val="17"/>
          <w:szCs w:val="17"/>
        </w:rPr>
        <w:t xml:space="preserve">  5. SUSTENTABILIDADE ECONÔMICA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Supply fixo: </w:t>
      </w:r>
      <w:r>
        <w:rPr>
          <w:rFonts w:ascii="Calibri" w:cs="Calibri" w:eastAsia="Calibri" w:hAnsi="Calibri"/>
          <w:sz w:val="18"/>
          <w:szCs w:val="18"/>
        </w:rPr>
        <w:t xml:space="preserve">10M PGM sem emissão adicional após deploy.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Captura de valor: </w:t>
      </w:r>
      <w:r>
        <w:rPr>
          <w:rFonts w:ascii="Calibri" w:cs="Calibri" w:eastAsia="Calibri" w:hAnsi="Calibri"/>
          <w:sz w:val="18"/>
          <w:szCs w:val="18"/>
        </w:rPr>
        <w:t xml:space="preserve">taxa de 2%/transação reinveste na reserva do ecossistema.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Velocity control (MV=PQ): </w:t>
      </w:r>
      <w:r>
        <w:rPr>
          <w:rFonts w:ascii="Calibri" w:cs="Calibri" w:eastAsia="Calibri" w:hAnsi="Calibri"/>
          <w:sz w:val="18"/>
          <w:szCs w:val="18"/>
        </w:rPr>
        <w:t xml:space="preserve">acesso premium cria incentivo de retenção, reduzindo V e contribuindo para estabilidade de preço.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Vesting da equipe: </w:t>
      </w:r>
      <w:r>
        <w:rPr>
          <w:rFonts w:ascii="Calibri" w:cs="Calibri" w:eastAsia="Calibri" w:hAnsi="Calibri"/>
          <w:sz w:val="18"/>
          <w:szCs w:val="18"/>
        </w:rPr>
        <w:t xml:space="preserve">cliff de 12 meses elimina incentivo de venda no lançamento.</w:t>
      </w:r>
    </w:p>
    <w:p>
      <w:pPr>
        <w:shd w:fill="5B4FCF" w:val="clear"/>
        <w:spacing w:before="100" w:after="40"/>
      </w:pPr>
      <w:r>
        <w:rPr>
          <w:rFonts w:ascii="Calibri" w:cs="Calibri" w:eastAsia="Calibri" w:hAnsi="Calibri"/>
          <w:b/>
          <w:bCs/>
          <w:color w:val="FFFFFF"/>
          <w:sz w:val="17"/>
          <w:szCs w:val="17"/>
        </w:rPr>
        <w:t xml:space="preserve">  6. RISCOS E MITIGAÇÕES</w:t>
      </w:r>
    </w:p>
    <w:tbl>
      <w:tblPr>
        <w:tblW w:type="dxa" w:w="9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A4A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before="0" w:after="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Risco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A4A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before="0" w:after="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Mitigação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30"/>
              <w:left w:type="dxa" w:w="100"/>
              <w:bottom w:type="dxa" w:w="30"/>
              <w:right w:type="dxa" w:w="60"/>
            </w:tcMar>
          </w:tcPr>
          <w:p>
            <w:pPr>
              <w:spacing w:before="0" w:after="0"/>
              <w:jc w:val="both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Baixa adoção inicial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100"/>
              <w:bottom w:type="dxa" w:w="30"/>
              <w:right w:type="dxa" w:w="60"/>
            </w:tcMar>
          </w:tcPr>
          <w:p>
            <w:pPr>
              <w:spacing w:before="0" w:after="0"/>
              <w:jc w:val="both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Faucet público para onboarding sem custo de entrada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100"/>
              <w:bottom w:type="dxa" w:w="30"/>
              <w:right w:type="dxa" w:w="60"/>
            </w:tcMar>
          </w:tcPr>
          <w:p>
            <w:pPr>
              <w:spacing w:before="0" w:after="0"/>
              <w:jc w:val="both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Concentração de supply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30"/>
              <w:left w:type="dxa" w:w="100"/>
              <w:bottom w:type="dxa" w:w="30"/>
              <w:right w:type="dxa" w:w="60"/>
            </w:tcMar>
          </w:tcPr>
          <w:p>
            <w:pPr>
              <w:spacing w:before="0" w:after="0"/>
              <w:jc w:val="both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40% em venda pública + vesting longo para equipe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30"/>
              <w:left w:type="dxa" w:w="100"/>
              <w:bottom w:type="dxa" w:w="30"/>
              <w:right w:type="dxa" w:w="60"/>
            </w:tcMar>
          </w:tcPr>
          <w:p>
            <w:pPr>
              <w:spacing w:before="0" w:after="0"/>
              <w:jc w:val="both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Volatilidade de preço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100"/>
              <w:bottom w:type="dxa" w:w="30"/>
              <w:right w:type="dxa" w:w="60"/>
            </w:tcMar>
          </w:tcPr>
          <w:p>
            <w:pPr>
              <w:spacing w:before="0" w:after="0"/>
              <w:jc w:val="both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Supply fixo + acesso premium reduz velocity (V)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100"/>
              <w:bottom w:type="dxa" w:w="30"/>
              <w:right w:type="dxa" w:w="60"/>
            </w:tcMar>
          </w:tcPr>
          <w:p>
            <w:pPr>
              <w:spacing w:before="0" w:after="0"/>
              <w:jc w:val="both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Risco regulatório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30"/>
              <w:left w:type="dxa" w:w="100"/>
              <w:bottom w:type="dxa" w:w="30"/>
              <w:right w:type="dxa" w:w="60"/>
            </w:tcMar>
          </w:tcPr>
          <w:p>
            <w:pPr>
              <w:spacing w:before="0" w:after="0"/>
              <w:jc w:val="both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Token de utilidade pura — sem promessa de retorno financeiro</w:t>
            </w:r>
          </w:p>
        </w:tc>
      </w:tr>
    </w:tbl>
    <w:p>
      <w:pPr>
        <w:pBdr>
          <w:top w:val="single" w:color="5B4FCF" w:sz="3" w:space="6"/>
        </w:pBdr>
        <w:spacing w:before="80" w:after="0"/>
        <w:jc w:val="center"/>
      </w:pPr>
      <w:r>
        <w:rPr>
          <w:rFonts w:ascii="Calibri" w:cs="Calibri" w:eastAsia="Calibri" w:hAnsi="Calibri"/>
          <w:color w:val="888888"/>
          <w:sz w:val="15"/>
          <w:szCs w:val="15"/>
        </w:rPr>
        <w:t xml:space="preserve">github.com/seu-usuario/pragma-protocol  |  Bônus: ERC-20 deploy na Sepolia  |  Padrão: ERC-20 (Foundry)</w:t>
      </w:r>
    </w:p>
    <w:sectPr>
      <w:headerReference w:type="default" r:id="rId6"/>
      <w:pgSz w:w="11906" w:h="16838" w:orient="portrait"/>
      <w:pgMar w:top="600" w:right="800" w:bottom="6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B4FCF" w:sz="4" w:space="4"/>
      </w:pBdr>
      <w:spacing w:after="50"/>
    </w:pPr>
    <w:r>
      <w:rPr>
        <w:rFonts w:ascii="Calibri" w:cs="Calibri" w:eastAsia="Calibri" w:hAnsi="Calibri"/>
        <w:color w:val="888888"/>
        <w:sz w:val="15"/>
        <w:szCs w:val="15"/>
      </w:rPr>
      <w:t xml:space="preserve">Exercício de Design de Tokenomics  |  Aula 01 — Fundamentos e Arquitetura dos Tokens  |  Fevereiro de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2026-02-28T05:38:12.059Z</dcterms:created>
  <dcterms:modified xsi:type="dcterms:W3CDTF">2026-02-28T05:38:12.061Z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