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C00000"/>
          <w:sz w:val="28"/>
        </w:rPr>
        <w:t>SMILES2Docking: an open-source desktop workflow for ligand ionization, stereochemistry-aware preparation, parallel processing, and optional semi-empirical 3D refinement</w:t>
      </w:r>
    </w:p>
    <w:p>
      <w:pPr>
        <w:jc w:val="center"/>
      </w:pPr>
      <w:r>
        <w:rPr>
          <w:b w:val="0"/>
          <w:i w:val="0"/>
          <w:color w:val="000000"/>
        </w:rPr>
        <w:t>Adriano Marques Goncalves¹, Daniel Grajales Ruiz²</w:t>
        <w:br/>
        <w:t>¹ Universidade de Araraquara — UNIARA, Araraquara, SP, Brazil</w:t>
        <w:br/>
        <w:t>² Instituto de Química, Universidade Estadual Paulista — UNESP, Araraquara, SP, Brazil</w:t>
        <w:br/>
        <w:t>Correspondence: amgoncalves@uniara.edu.br</w:t>
      </w:r>
    </w:p>
    <w:p/>
    <w:p>
      <w:r>
        <w:rPr>
          <w:b/>
          <w:i w:val="0"/>
          <w:color w:val="000000"/>
        </w:rPr>
        <w:t>Abstract</w:t>
      </w:r>
    </w:p>
    <w:p>
      <w:r>
        <w:rPr>
          <w:b w:val="0"/>
          <w:i w:val="0"/>
          <w:color w:val="C00000"/>
        </w:rPr>
        <w:t xml:space="preserve">SMILES2Docking converts spreadsheet-based SMILES libraries into docking-ready ligands through an integrated, auditable pipeline aimed at curated small-to-medium screening sets (10²–10⁴ compounds) and pedagogical use. </w:t>
      </w:r>
      <w:r>
        <w:rPr>
          <w:b w:val="0"/>
          <w:i w:val="0"/>
          <w:color w:val="000000"/>
        </w:rPr>
        <w:t xml:space="preserve">Structural curation removes salts and co-formers; </w:t>
      </w:r>
      <w:r>
        <w:rPr>
          <w:b w:val="0"/>
          <w:i w:val="0"/>
          <w:color w:val="C00000"/>
        </w:rPr>
        <w:t xml:space="preserve">protonation states are assigned with Dimorphite-DL as the default backend, which applies substituent-aware and multi-site pKa rules and overcomes the well-known limitation of single-pass `obabel -p` over polybasic and polyacidic scaffolds. Open Babel remains available as an alternative backend for legacy compatibility. </w:t>
      </w:r>
      <w:r>
        <w:rPr>
          <w:b w:val="0"/>
          <w:i w:val="0"/>
          <w:color w:val="000000"/>
        </w:rPr>
        <w:t xml:space="preserve">Three-dimensional embedding is performed with the RDKit ETKDGv3 algorithm, followed by a cascade of `MMFF94 → MMFF94s → UFF` force fields. </w:t>
      </w:r>
      <w:r>
        <w:rPr>
          <w:b w:val="0"/>
          <w:i w:val="0"/>
          <w:color w:val="C00000"/>
        </w:rPr>
        <w:t xml:space="preserve">Optional semi-empirical refinement via MOPAC PM7 (and PM6, PM6-D3H4X, PM6-ORG, RM1, PM3, AM1, MNDO) is provided as an opt-in stage, disabled by default to preserve throughput. Library-scale runs are parallelized with joblib over configurable worker counts, </w:t>
      </w:r>
      <w:r>
        <w:rPr>
          <w:b w:val="0"/>
          <w:i w:val="0"/>
          <w:color w:val="C00000"/>
        </w:rPr>
        <w:t xml:space="preserve">and prepared structures are exported as `MOL2`, `SDF` or `PDBQT`. </w:t>
      </w:r>
      <w:r>
        <w:rPr>
          <w:b w:val="0"/>
          <w:i w:val="0"/>
          <w:color w:val="C00000"/>
        </w:rPr>
        <w:t xml:space="preserve">PDBQT files are written through Meeko, which preserves molecular topology and avoids the fragmentation observed when Open Babel alone is used as the converter. </w:t>
      </w:r>
      <w:r>
        <w:rPr>
          <w:b w:val="0"/>
          <w:i w:val="0"/>
          <w:color w:val="C00000"/>
        </w:rPr>
        <w:t xml:space="preserve">Each run yields a JSON report including wall-clock time, mean/median/p95 seconds per molecule, fastest and slowest records, throughput in molecules per minute, and stage-resolved timing (clean / protonate / build_3d / export), supporting transparent performance reporting for reviewers and downstream users. </w:t>
      </w:r>
      <w:r>
        <w:rPr>
          <w:b w:val="0"/>
          <w:i w:val="0"/>
          <w:color w:val="C00000"/>
        </w:rPr>
        <w:t xml:space="preserve">SMILES2Docking is distributed as a Python package, a Windows executable, and a Linux portable bundle under GPL-2.0-or-later. The Linux distribution writes all intermediate files to user-writable locations (XDG-compliant paths), eliminating the read-only failure mode previously reported for AppImage executions. </w:t>
      </w:r>
      <w:r>
        <w:rPr>
          <w:b w:val="0"/>
          <w:i w:val="0"/>
          <w:color w:val="000000"/>
        </w:rPr>
        <w:t>SMILES2Docking is freely available at https://github.com/amgoncalvesusp/Smiles2Docking (DOI: [ZENODO_DOI_PLACEHOLDER]).</w:t>
      </w:r>
    </w:p>
    <w:p>
      <w:r>
        <w:rPr>
          <w:b/>
          <w:i w:val="0"/>
          <w:color w:val="000000"/>
        </w:rPr>
        <w:t xml:space="preserve">Keywords: </w:t>
      </w:r>
      <w:r>
        <w:rPr>
          <w:b w:val="0"/>
          <w:i w:val="0"/>
          <w:color w:val="C00000"/>
        </w:rPr>
        <w:t>SMILES; ligand preparation; molecular docking; Dimorphite-DL; protonation state; PDBQT; Meeko; AutoDock Vina; semi-empirical methods; PM7; RDKit; parallel workflow.</w:t>
      </w:r>
    </w:p>
    <w:p/>
    <w:p>
      <w:r>
        <w:rPr>
          <w:b/>
          <w:i w:val="0"/>
          <w:color w:val="000000"/>
        </w:rPr>
        <w:t>1. Introduction</w:t>
      </w:r>
    </w:p>
    <w:p>
      <w:r>
        <w:rPr>
          <w:b w:val="0"/>
          <w:i w:val="0"/>
          <w:color w:val="000000"/>
        </w:rPr>
        <w:t xml:space="preserve">Molecular docking remains a workhorse of structure-based virtual screening, and the quality of its predictions depends on a chain of upstream decisions about how each ligand is represented before it reaches the docking engine [1,2]. </w:t>
      </w:r>
      <w:r>
        <w:rPr>
          <w:b w:val="0"/>
          <w:i w:val="0"/>
          <w:color w:val="C00000"/>
        </w:rPr>
        <w:t xml:space="preserve">Public repositories such as ChEMBL [R1a], PubChem [R1b], ZINC [R1c] and Enamine REAL provide millions of bioactive small molecules in SMILES form, but the SMILES string alone does not encode protonation state, tautomeric preference, stereochemical definition, or three-dimensional geometry. </w:t>
      </w:r>
      <w:r>
        <w:rPr>
          <w:b w:val="0"/>
          <w:i w:val="0"/>
          <w:color w:val="C00000"/>
        </w:rPr>
        <w:t xml:space="preserve">Input quality is one of several factors that influence docking accuracy, alongside the scoring function, the search parameters, the receptor model and the binding-site definition [3,4]. </w:t>
      </w:r>
      <w:r>
        <w:rPr>
          <w:b w:val="0"/>
          <w:i w:val="0"/>
          <w:color w:val="C00000"/>
        </w:rPr>
        <w:t xml:space="preserve">Reproducible ligand preparation is therefore an enabling step rather than a sufficient guarantee of correct ranking. </w:t>
      </w:r>
      <w:r>
        <w:rPr>
          <w:b w:val="0"/>
          <w:i w:val="0"/>
          <w:color w:val="C00000"/>
        </w:rPr>
        <w:t>It should also be noted that recent co-folding approaches such as AlphaFold3 and Boltz-2 [R1d] no longer require explicit three-dimensional ligand construction; the present work remains focused on the classical docking regime, where a curated 3D ligand is still the input contract of engines such as AutoDock Vina, GOLD and Glide.</w:t>
      </w:r>
    </w:p>
    <w:p>
      <w:r>
        <w:rPr>
          <w:b w:val="0"/>
          <w:i w:val="0"/>
          <w:color w:val="C00000"/>
        </w:rPr>
        <w:t xml:space="preserve">Several open-source pipelines already address ligand preparation and large-scale docking, and the methodological landscape must be acknowledged explicitly. VirtualFlow [R2a,R2b] orchestrates ultra-large virtual screening over distributed compute and supports billion-scale libraries. DockStream [R2c] provides a configuration-driven preparation and docking layer compatible with multiple engines, and DockString [R2d] exposes a scikit-learn-like API for benchmarking docking-based scoring. ChemFlow [R2e] and EasyDock [R2f] offer flexible interfaces for both preparation and docking, with EasyDock relying on Dimorphite-DL for multi-site protonation. DockM8 [R2g] integrates preparation, docking, rescoring and pose selection behind a graphical interface and is presented as an end-to-end consensus platform. In several of these tools, ligand preparation can be executed independently of the docking stage, and most of them already rely on RDKit for stereochemistry enumeration and 3D generation, and on Open Babel for protonation. </w:t>
      </w:r>
      <w:r>
        <w:rPr>
          <w:b w:val="0"/>
          <w:i w:val="0"/>
          <w:color w:val="C00000"/>
        </w:rPr>
        <w:t xml:space="preserve">Against this backdrop, SMILES2Docking is positioned not as a competitor to billion-scale virtual screening platforms, but as a focused, locally executable preparation tool for curated small-to-medium libraries, with an explicit emphasis on auditability, on physically defensible protonation defaults, on PDBQT output fidelity, and on transparent per-molecule performance reporting. </w:t>
      </w:r>
      <w:r>
        <w:rPr>
          <w:b w:val="0"/>
          <w:i w:val="0"/>
          <w:color w:val="C00000"/>
        </w:rPr>
        <w:t>The desktop graphical interface is intended to lower the entry barrier for educational settings and for users with limited command-line experience; the present work acknowledges that DockM8 also provides a graphical front end, and a graphical interface alone is not claimed as a sufficient distinguishing feature.</w:t>
      </w:r>
    </w:p>
    <w:p>
      <w:r>
        <w:rPr>
          <w:b w:val="0"/>
          <w:i w:val="0"/>
          <w:color w:val="000000"/>
        </w:rPr>
        <w:t xml:space="preserve">Protonation-state assignment is one of the steps most sensitive to method choice, since incorrect ionization affects binding-site complementarity, hydrogen-bond topology and electrostatic scoring [8]. </w:t>
      </w:r>
      <w:r>
        <w:rPr>
          <w:b w:val="0"/>
          <w:i w:val="0"/>
          <w:color w:val="C00000"/>
        </w:rPr>
        <w:t xml:space="preserve">The widely used `obabel -p` mode processes ionizable groups independently and, in molecules with several amino centers or with strong electronic effects between ionizable sites, tends to overprotonate; this limitation has been documented and compared against more accurate predictors, including MolGpKa, Uni-pKa and Dimorphite-DL, in the recent review by Baikete, Malloum and Conradie [R3a]. </w:t>
      </w:r>
      <w:r>
        <w:rPr>
          <w:b w:val="0"/>
          <w:i w:val="0"/>
          <w:color w:val="C00000"/>
        </w:rPr>
        <w:t>In response to this limitation, the present implementation adopts Dimorphite-DL [R3b] as the default backend; it applies SMARTS-based pKa rules that account for substituent effects, vicinity and the mutual influence of multiple ionizable groups. Open Babel remains available for backward compatibility and reproducibility against prior literature; the architecture is explicitly modular, allowing the integration of MolGpKa or Uni-pKa as additional backends in subsequent releases.</w:t>
      </w:r>
    </w:p>
    <w:p>
      <w:r>
        <w:rPr>
          <w:b w:val="0"/>
          <w:i w:val="0"/>
          <w:color w:val="000000"/>
        </w:rPr>
        <w:t xml:space="preserve">Three-dimensional embedding is performed with the RDKit ETKDGv3 algorithm [9,10], which combines distance geometry with experimental torsion-angle preferences. </w:t>
      </w:r>
      <w:r>
        <w:rPr>
          <w:b w:val="0"/>
          <w:i w:val="0"/>
          <w:color w:val="000000"/>
        </w:rPr>
        <w:t xml:space="preserve">Embedded geometries are subsequently refined by `MMFF94 → MMFF94s → UFF` until convergence is achieved or the cascade is exhausted. </w:t>
      </w:r>
      <w:r>
        <w:rPr>
          <w:b w:val="0"/>
          <w:i w:val="0"/>
          <w:color w:val="C00000"/>
        </w:rPr>
        <w:t>Optional refinement via MOPAC semi-empirical Hamiltonians (PM7 by default, with PM6, PM6-D3H4X, PM6-ORG, RM1, PM3, AM1 and MNDO available for comparison) is provided as an opt-in stage [11]. The decision to disable MOPAC by default acknowledges that semi-empirical refinement is computationally expensive and that improvements over well-converged force-field geometries are not systematic across docking engines; the option therefore targets small curated sets and method-comparison studies, rather than high-throughput campaigns.</w:t>
      </w:r>
    </w:p>
    <w:p>
      <w:r>
        <w:rPr>
          <w:b w:val="0"/>
          <w:i w:val="0"/>
          <w:color w:val="C00000"/>
        </w:rPr>
        <w:t xml:space="preserve">Undefined chirality, when silently ignored, produces three-dimensional geometries that may correspond to an unintended stereoisomer, biasing the docked pose toward a stereochemical form that the user did not select [12]. </w:t>
      </w:r>
      <w:r>
        <w:rPr>
          <w:b w:val="0"/>
          <w:i w:val="0"/>
          <w:color w:val="000000"/>
        </w:rPr>
        <w:t>Three explicit stereocentre policies — permissive, strict, and enumerative — are exposed in SMILES2Docking; each compound's policy outcome is recorded in the per-run JSON audit report, supporting traceable downstream interpretation.</w:t>
      </w:r>
    </w:p>
    <w:p>
      <w:r>
        <w:rPr>
          <w:b w:val="0"/>
          <w:i w:val="0"/>
          <w:color w:val="C00000"/>
        </w:rPr>
        <w:t xml:space="preserve">Compounds are processed in parallel through joblib, with worker isolation that instantiates the cleaner, protonator and builder once per worker; the user controls the worker count via the `parallel.n_jobs` configuration key. </w:t>
      </w:r>
      <w:r>
        <w:rPr>
          <w:b w:val="0"/>
          <w:i w:val="0"/>
          <w:color w:val="C00000"/>
        </w:rPr>
        <w:t xml:space="preserve">Each run produces a JSON report containing wall-clock time, mean, median and p95 seconds per molecule, fastest and slowest records, stage-resolved timing for the clean / protonate / build_3d / export stages, and the throughput in molecules per minute. </w:t>
      </w:r>
      <w:r>
        <w:rPr>
          <w:b w:val="0"/>
          <w:i w:val="0"/>
          <w:color w:val="C00000"/>
        </w:rPr>
        <w:t>These timing fields are intended to make the practical scaling of the pipeline auditable from the report alone, and a dedicated benchmark script (`scripts/benchmark.py`) is provided to reproduce the throughput numbers reported in Section 3 across library sizes of 10², 10³ and 10⁴ compounds and over varying worker counts.</w:t>
      </w:r>
    </w:p>
    <w:p>
      <w:r>
        <w:rPr>
          <w:b w:val="0"/>
          <w:i w:val="0"/>
          <w:color w:val="C00000"/>
        </w:rPr>
        <w:t xml:space="preserve">Prepared ligands are exported as `MOL2`, `SDF` or `PDBQT`. </w:t>
      </w:r>
      <w:r>
        <w:rPr>
          <w:b w:val="0"/>
          <w:i w:val="0"/>
          <w:color w:val="C00000"/>
        </w:rPr>
        <w:t xml:space="preserve">The PDBQT writer is built on Meeko [R3c], the reference implementation maintained by the AutoDock developers; it preserves molecular topology, retains the largest covalent fragment when salts persist after curation, and assigns Gasteiger charges and AutoDock atom types in a single pass. This route avoids the fragmentation that is occasionally observed when PDBQT is produced by chaining `obabel` over an intermediate format. </w:t>
      </w:r>
      <w:r>
        <w:rPr>
          <w:b w:val="0"/>
          <w:i w:val="0"/>
          <w:color w:val="C00000"/>
        </w:rPr>
        <w:t>On Linux, the default output, intermediate and report directories are resolved at runtime to XDG-compliant user-writable paths (e.g., `$XDG_DATA_HOME/smiles2docking/` with fallback to `~/.local/share/smiles2docking/`), and analogous per-user paths are used on Windows (`%APPDATA%\smiles2docking\`) and macOS (`~/Library/Application Support/smiles2docking/`). This resolution eliminates the previously reported `[Errno 30] Read-only file system` failure observed when the AppImage attempted to write inside its own mount point.</w:t>
      </w:r>
    </w:p>
    <w:p>
      <w:r>
        <w:rPr>
          <w:b w:val="0"/>
          <w:i w:val="0"/>
          <w:color w:val="C00000"/>
        </w:rPr>
        <w:t>The aim of this work is therefore to describe SMILES2Docking as a curated, auditable, locally executable preparation pipeline for classical docking, with explicit attention to four points raised by reviewers of prior versions: (i) positioning relative to existing virtual screening pipelines, (ii) physically defensible default protonation, (iii) reproducible parallel execution with per-molecule timing in the audit trail, and (iv) topology-preserving PDBQT output for AutoDock Vina compatibility.</w:t>
      </w:r>
    </w:p>
    <w:p/>
    <w:p>
      <w:r>
        <w:rPr>
          <w:b/>
          <w:i w:val="0"/>
          <w:color w:val="C00000"/>
        </w:rPr>
        <w:t xml:space="preserve">Table 1. </w:t>
      </w:r>
      <w:r>
        <w:rPr>
          <w:b w:val="0"/>
          <w:i w:val="0"/>
          <w:color w:val="C00000"/>
        </w:rPr>
        <w:t>Positioning of SMILES2Docking against representative open-source ligand-preparation and docking pipelines. Entries summarise stated capabilities at the time of writing and are not intended as exhaustive feature audits.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color w:val="C00000"/>
              </w:rPr>
              <w:t>Tool</w:t>
            </w:r>
          </w:p>
        </w:tc>
        <w:tc>
          <w:tcPr>
            <w:tcW w:type="dxa" w:w="1234"/>
          </w:tcPr>
          <w:p>
            <w:r/>
            <w:r>
              <w:rPr>
                <w:b/>
                <w:color w:val="C00000"/>
              </w:rPr>
              <w:t>Ligand prep</w:t>
            </w:r>
          </w:p>
        </w:tc>
        <w:tc>
          <w:tcPr>
            <w:tcW w:type="dxa" w:w="1234"/>
          </w:tcPr>
          <w:p>
            <w:r/>
            <w:r>
              <w:rPr>
                <w:b/>
                <w:color w:val="C00000"/>
              </w:rPr>
              <w:t>Docking</w:t>
            </w:r>
          </w:p>
        </w:tc>
        <w:tc>
          <w:tcPr>
            <w:tcW w:type="dxa" w:w="1234"/>
          </w:tcPr>
          <w:p>
            <w:r/>
            <w:r>
              <w:rPr>
                <w:b/>
                <w:color w:val="C00000"/>
              </w:rPr>
              <w:t>Protonation</w:t>
            </w:r>
          </w:p>
        </w:tc>
        <w:tc>
          <w:tcPr>
            <w:tcW w:type="dxa" w:w="1234"/>
          </w:tcPr>
          <w:p>
            <w:r/>
            <w:r>
              <w:rPr>
                <w:b/>
                <w:color w:val="C00000"/>
              </w:rPr>
              <w:t>3D refinement</w:t>
            </w:r>
          </w:p>
        </w:tc>
        <w:tc>
          <w:tcPr>
            <w:tcW w:type="dxa" w:w="1234"/>
          </w:tcPr>
          <w:p>
            <w:r/>
            <w:r>
              <w:rPr>
                <w:b/>
                <w:color w:val="C00000"/>
              </w:rPr>
              <w:t>GUI</w:t>
            </w:r>
          </w:p>
        </w:tc>
        <w:tc>
          <w:tcPr>
            <w:tcW w:type="dxa" w:w="1234"/>
          </w:tcPr>
          <w:p>
            <w:r/>
            <w:r>
              <w:rPr>
                <w:b/>
                <w:color w:val="C00000"/>
              </w:rPr>
              <w:t>Target scale</w:t>
            </w:r>
          </w:p>
        </w:tc>
      </w:tr>
      <w:tr>
        <w:tc>
          <w:tcPr>
            <w:tcW w:type="dxa" w:w="1234"/>
          </w:tcPr>
          <w:p>
            <w:r/>
            <w:r>
              <w:rPr>
                <w:color w:val="C00000"/>
              </w:rPr>
              <w:t>VirtualFlow</w:t>
            </w:r>
          </w:p>
        </w:tc>
        <w:tc>
          <w:tcPr>
            <w:tcW w:type="dxa" w:w="1234"/>
          </w:tcPr>
          <w:p>
            <w:r/>
            <w:r>
              <w:rPr>
                <w:color w:val="C00000"/>
              </w:rPr>
              <w:t>Yes</w:t>
            </w:r>
          </w:p>
        </w:tc>
        <w:tc>
          <w:tcPr>
            <w:tcW w:type="dxa" w:w="1234"/>
          </w:tcPr>
          <w:p>
            <w:r/>
            <w:r>
              <w:rPr>
                <w:color w:val="C00000"/>
              </w:rPr>
              <w:t>Multi-engine</w:t>
            </w:r>
          </w:p>
        </w:tc>
        <w:tc>
          <w:tcPr>
            <w:tcW w:type="dxa" w:w="1234"/>
          </w:tcPr>
          <w:p>
            <w:r/>
            <w:r>
              <w:rPr>
                <w:color w:val="C00000"/>
              </w:rPr>
              <w:t>Open Babel</w:t>
            </w:r>
          </w:p>
        </w:tc>
        <w:tc>
          <w:tcPr>
            <w:tcW w:type="dxa" w:w="1234"/>
          </w:tcPr>
          <w:p>
            <w:r/>
            <w:r>
              <w:rPr>
                <w:color w:val="C00000"/>
              </w:rPr>
              <w:t>Force field</w:t>
            </w:r>
          </w:p>
        </w:tc>
        <w:tc>
          <w:tcPr>
            <w:tcW w:type="dxa" w:w="1234"/>
          </w:tcPr>
          <w:p>
            <w:r/>
            <w:r>
              <w:rPr>
                <w:color w:val="C00000"/>
              </w:rPr>
              <w:t>No</w:t>
            </w:r>
          </w:p>
        </w:tc>
        <w:tc>
          <w:tcPr>
            <w:tcW w:type="dxa" w:w="1234"/>
          </w:tcPr>
          <w:p>
            <w:r/>
            <w:r>
              <w:rPr>
                <w:color w:val="C00000"/>
              </w:rPr>
              <w:t>10⁶–10⁹</w:t>
            </w:r>
          </w:p>
        </w:tc>
      </w:tr>
      <w:tr>
        <w:tc>
          <w:tcPr>
            <w:tcW w:type="dxa" w:w="1234"/>
          </w:tcPr>
          <w:p>
            <w:r/>
            <w:r>
              <w:rPr>
                <w:color w:val="C00000"/>
              </w:rPr>
              <w:t>DockStream</w:t>
            </w:r>
          </w:p>
        </w:tc>
        <w:tc>
          <w:tcPr>
            <w:tcW w:type="dxa" w:w="1234"/>
          </w:tcPr>
          <w:p>
            <w:r/>
            <w:r>
              <w:rPr>
                <w:color w:val="C00000"/>
              </w:rPr>
              <w:t>Yes</w:t>
            </w:r>
          </w:p>
        </w:tc>
        <w:tc>
          <w:tcPr>
            <w:tcW w:type="dxa" w:w="1234"/>
          </w:tcPr>
          <w:p>
            <w:r/>
            <w:r>
              <w:rPr>
                <w:color w:val="C00000"/>
              </w:rPr>
              <w:t>Multi-engine</w:t>
            </w:r>
          </w:p>
        </w:tc>
        <w:tc>
          <w:tcPr>
            <w:tcW w:type="dxa" w:w="1234"/>
          </w:tcPr>
          <w:p>
            <w:r/>
            <w:r>
              <w:rPr>
                <w:color w:val="C00000"/>
              </w:rPr>
              <w:t>RDKit / Corina</w:t>
            </w:r>
          </w:p>
        </w:tc>
        <w:tc>
          <w:tcPr>
            <w:tcW w:type="dxa" w:w="1234"/>
          </w:tcPr>
          <w:p>
            <w:r/>
            <w:r>
              <w:rPr>
                <w:color w:val="C00000"/>
              </w:rPr>
              <w:t>Force field</w:t>
            </w:r>
          </w:p>
        </w:tc>
        <w:tc>
          <w:tcPr>
            <w:tcW w:type="dxa" w:w="1234"/>
          </w:tcPr>
          <w:p>
            <w:r/>
            <w:r>
              <w:rPr>
                <w:color w:val="C00000"/>
              </w:rPr>
              <w:t>No</w:t>
            </w:r>
          </w:p>
        </w:tc>
        <w:tc>
          <w:tcPr>
            <w:tcW w:type="dxa" w:w="1234"/>
          </w:tcPr>
          <w:p>
            <w:r/>
            <w:r>
              <w:rPr>
                <w:color w:val="C00000"/>
              </w:rPr>
              <w:t>10³–10⁶</w:t>
            </w:r>
          </w:p>
        </w:tc>
      </w:tr>
      <w:tr>
        <w:tc>
          <w:tcPr>
            <w:tcW w:type="dxa" w:w="1234"/>
          </w:tcPr>
          <w:p>
            <w:r/>
            <w:r>
              <w:rPr>
                <w:color w:val="C00000"/>
              </w:rPr>
              <w:t>DockString</w:t>
            </w:r>
          </w:p>
        </w:tc>
        <w:tc>
          <w:tcPr>
            <w:tcW w:type="dxa" w:w="1234"/>
          </w:tcPr>
          <w:p>
            <w:r/>
            <w:r>
              <w:rPr>
                <w:color w:val="C00000"/>
              </w:rPr>
              <w:t>Yes</w:t>
            </w:r>
          </w:p>
        </w:tc>
        <w:tc>
          <w:tcPr>
            <w:tcW w:type="dxa" w:w="1234"/>
          </w:tcPr>
          <w:p>
            <w:r/>
            <w:r>
              <w:rPr>
                <w:color w:val="C00000"/>
              </w:rPr>
              <w:t>AutoDock Vina</w:t>
            </w:r>
          </w:p>
        </w:tc>
        <w:tc>
          <w:tcPr>
            <w:tcW w:type="dxa" w:w="1234"/>
          </w:tcPr>
          <w:p>
            <w:r/>
            <w:r>
              <w:rPr>
                <w:color w:val="C00000"/>
              </w:rPr>
              <w:t>RDKit</w:t>
            </w:r>
          </w:p>
        </w:tc>
        <w:tc>
          <w:tcPr>
            <w:tcW w:type="dxa" w:w="1234"/>
          </w:tcPr>
          <w:p>
            <w:r/>
            <w:r>
              <w:rPr>
                <w:color w:val="C00000"/>
              </w:rPr>
              <w:t>ETKDG</w:t>
            </w:r>
          </w:p>
        </w:tc>
        <w:tc>
          <w:tcPr>
            <w:tcW w:type="dxa" w:w="1234"/>
          </w:tcPr>
          <w:p>
            <w:r/>
            <w:r>
              <w:rPr>
                <w:color w:val="C00000"/>
              </w:rPr>
              <w:t>No</w:t>
            </w:r>
          </w:p>
        </w:tc>
        <w:tc>
          <w:tcPr>
            <w:tcW w:type="dxa" w:w="1234"/>
          </w:tcPr>
          <w:p>
            <w:r/>
            <w:r>
              <w:rPr>
                <w:color w:val="C00000"/>
              </w:rPr>
              <w:t>10³–10⁵</w:t>
            </w:r>
          </w:p>
        </w:tc>
      </w:tr>
      <w:tr>
        <w:tc>
          <w:tcPr>
            <w:tcW w:type="dxa" w:w="1234"/>
          </w:tcPr>
          <w:p>
            <w:r/>
            <w:r>
              <w:rPr>
                <w:color w:val="C00000"/>
              </w:rPr>
              <w:t>ChemFlow</w:t>
            </w:r>
          </w:p>
        </w:tc>
        <w:tc>
          <w:tcPr>
            <w:tcW w:type="dxa" w:w="1234"/>
          </w:tcPr>
          <w:p>
            <w:r/>
            <w:r>
              <w:rPr>
                <w:color w:val="C00000"/>
              </w:rPr>
              <w:t>Yes</w:t>
            </w:r>
          </w:p>
        </w:tc>
        <w:tc>
          <w:tcPr>
            <w:tcW w:type="dxa" w:w="1234"/>
          </w:tcPr>
          <w:p>
            <w:r/>
            <w:r>
              <w:rPr>
                <w:color w:val="C00000"/>
              </w:rPr>
              <w:t>Multi-engine</w:t>
            </w:r>
          </w:p>
        </w:tc>
        <w:tc>
          <w:tcPr>
            <w:tcW w:type="dxa" w:w="1234"/>
          </w:tcPr>
          <w:p>
            <w:r/>
            <w:r>
              <w:rPr>
                <w:color w:val="C00000"/>
              </w:rPr>
              <w:t>Variable</w:t>
            </w:r>
          </w:p>
        </w:tc>
        <w:tc>
          <w:tcPr>
            <w:tcW w:type="dxa" w:w="1234"/>
          </w:tcPr>
          <w:p>
            <w:r/>
            <w:r>
              <w:rPr>
                <w:color w:val="C00000"/>
              </w:rPr>
              <w:t>Variable</w:t>
            </w:r>
          </w:p>
        </w:tc>
        <w:tc>
          <w:tcPr>
            <w:tcW w:type="dxa" w:w="1234"/>
          </w:tcPr>
          <w:p>
            <w:r/>
            <w:r>
              <w:rPr>
                <w:color w:val="C00000"/>
              </w:rPr>
              <w:t>Partial</w:t>
            </w:r>
          </w:p>
        </w:tc>
        <w:tc>
          <w:tcPr>
            <w:tcW w:type="dxa" w:w="1234"/>
          </w:tcPr>
          <w:p>
            <w:r/>
            <w:r>
              <w:rPr>
                <w:color w:val="C00000"/>
              </w:rPr>
              <w:t>10³–10⁶</w:t>
            </w:r>
          </w:p>
        </w:tc>
      </w:tr>
      <w:tr>
        <w:tc>
          <w:tcPr>
            <w:tcW w:type="dxa" w:w="1234"/>
          </w:tcPr>
          <w:p>
            <w:r/>
            <w:r>
              <w:rPr>
                <w:color w:val="C00000"/>
              </w:rPr>
              <w:t>EasyDock</w:t>
            </w:r>
          </w:p>
        </w:tc>
        <w:tc>
          <w:tcPr>
            <w:tcW w:type="dxa" w:w="1234"/>
          </w:tcPr>
          <w:p>
            <w:r/>
            <w:r>
              <w:rPr>
                <w:color w:val="C00000"/>
              </w:rPr>
              <w:t>Yes</w:t>
            </w:r>
          </w:p>
        </w:tc>
        <w:tc>
          <w:tcPr>
            <w:tcW w:type="dxa" w:w="1234"/>
          </w:tcPr>
          <w:p>
            <w:r/>
            <w:r>
              <w:rPr>
                <w:color w:val="C00000"/>
              </w:rPr>
              <w:t>Vina / gnina</w:t>
            </w:r>
          </w:p>
        </w:tc>
        <w:tc>
          <w:tcPr>
            <w:tcW w:type="dxa" w:w="1234"/>
          </w:tcPr>
          <w:p>
            <w:r/>
            <w:r>
              <w:rPr>
                <w:color w:val="C00000"/>
              </w:rPr>
              <w:t>Dimorphite-DL</w:t>
            </w:r>
          </w:p>
        </w:tc>
        <w:tc>
          <w:tcPr>
            <w:tcW w:type="dxa" w:w="1234"/>
          </w:tcPr>
          <w:p>
            <w:r/>
            <w:r>
              <w:rPr>
                <w:color w:val="C00000"/>
              </w:rPr>
              <w:t>RDKit</w:t>
            </w:r>
          </w:p>
        </w:tc>
        <w:tc>
          <w:tcPr>
            <w:tcW w:type="dxa" w:w="1234"/>
          </w:tcPr>
          <w:p>
            <w:r/>
            <w:r>
              <w:rPr>
                <w:color w:val="C00000"/>
              </w:rPr>
              <w:t>No</w:t>
            </w:r>
          </w:p>
        </w:tc>
        <w:tc>
          <w:tcPr>
            <w:tcW w:type="dxa" w:w="1234"/>
          </w:tcPr>
          <w:p>
            <w:r/>
            <w:r>
              <w:rPr>
                <w:color w:val="C00000"/>
              </w:rPr>
              <w:t>10³–10⁶</w:t>
            </w:r>
          </w:p>
        </w:tc>
      </w:tr>
      <w:tr>
        <w:tc>
          <w:tcPr>
            <w:tcW w:type="dxa" w:w="1234"/>
          </w:tcPr>
          <w:p>
            <w:r/>
            <w:r>
              <w:rPr>
                <w:color w:val="C00000"/>
              </w:rPr>
              <w:t>DockM8</w:t>
            </w:r>
          </w:p>
        </w:tc>
        <w:tc>
          <w:tcPr>
            <w:tcW w:type="dxa" w:w="1234"/>
          </w:tcPr>
          <w:p>
            <w:r/>
            <w:r>
              <w:rPr>
                <w:color w:val="C00000"/>
              </w:rPr>
              <w:t>Yes</w:t>
            </w:r>
          </w:p>
        </w:tc>
        <w:tc>
          <w:tcPr>
            <w:tcW w:type="dxa" w:w="1234"/>
          </w:tcPr>
          <w:p>
            <w:r/>
            <w:r>
              <w:rPr>
                <w:color w:val="C00000"/>
              </w:rPr>
              <w:t>Multi-engine consensus</w:t>
            </w:r>
          </w:p>
        </w:tc>
        <w:tc>
          <w:tcPr>
            <w:tcW w:type="dxa" w:w="1234"/>
          </w:tcPr>
          <w:p>
            <w:r/>
            <w:r>
              <w:rPr>
                <w:color w:val="C00000"/>
              </w:rPr>
              <w:t>Variable</w:t>
            </w:r>
          </w:p>
        </w:tc>
        <w:tc>
          <w:tcPr>
            <w:tcW w:type="dxa" w:w="1234"/>
          </w:tcPr>
          <w:p>
            <w:r/>
            <w:r>
              <w:rPr>
                <w:color w:val="C00000"/>
              </w:rPr>
              <w:t>Variable</w:t>
            </w:r>
          </w:p>
        </w:tc>
        <w:tc>
          <w:tcPr>
            <w:tcW w:type="dxa" w:w="1234"/>
          </w:tcPr>
          <w:p>
            <w:r/>
            <w:r>
              <w:rPr>
                <w:color w:val="C00000"/>
              </w:rPr>
              <w:t>Yes</w:t>
            </w:r>
          </w:p>
        </w:tc>
        <w:tc>
          <w:tcPr>
            <w:tcW w:type="dxa" w:w="1234"/>
          </w:tcPr>
          <w:p>
            <w:r/>
            <w:r>
              <w:rPr>
                <w:color w:val="C00000"/>
              </w:rPr>
              <w:t>10³–10⁵</w:t>
            </w:r>
          </w:p>
        </w:tc>
      </w:tr>
      <w:tr>
        <w:tc>
          <w:tcPr>
            <w:tcW w:type="dxa" w:w="1234"/>
          </w:tcPr>
          <w:p>
            <w:r/>
            <w:r>
              <w:rPr>
                <w:b/>
                <w:color w:val="C00000"/>
              </w:rPr>
              <w:t>SMILES2Docking</w:t>
            </w:r>
          </w:p>
        </w:tc>
        <w:tc>
          <w:tcPr>
            <w:tcW w:type="dxa" w:w="1234"/>
          </w:tcPr>
          <w:p>
            <w:r/>
            <w:r>
              <w:rPr>
                <w:b/>
                <w:color w:val="C00000"/>
              </w:rPr>
              <w:t>Yes</w:t>
            </w:r>
          </w:p>
        </w:tc>
        <w:tc>
          <w:tcPr>
            <w:tcW w:type="dxa" w:w="1234"/>
          </w:tcPr>
          <w:p>
            <w:r/>
            <w:r>
              <w:rPr>
                <w:b/>
                <w:color w:val="C00000"/>
              </w:rPr>
              <w:t>Output-ready (Vina-compatible PDBQT)</w:t>
            </w:r>
          </w:p>
        </w:tc>
        <w:tc>
          <w:tcPr>
            <w:tcW w:type="dxa" w:w="1234"/>
          </w:tcPr>
          <w:p>
            <w:r/>
            <w:r>
              <w:rPr>
                <w:b/>
                <w:color w:val="C00000"/>
              </w:rPr>
              <w:t>Dimorphite-DL default; Open Babel optional</w:t>
            </w:r>
          </w:p>
        </w:tc>
        <w:tc>
          <w:tcPr>
            <w:tcW w:type="dxa" w:w="1234"/>
          </w:tcPr>
          <w:p>
            <w:r/>
            <w:r>
              <w:rPr>
                <w:b/>
                <w:color w:val="C00000"/>
              </w:rPr>
              <w:t>ETKDGv3 + force-field cascade; optional MOPAC PM7</w:t>
            </w:r>
          </w:p>
        </w:tc>
        <w:tc>
          <w:tcPr>
            <w:tcW w:type="dxa" w:w="1234"/>
          </w:tcPr>
          <w:p>
            <w:r/>
            <w:r>
              <w:rPr>
                <w:b/>
                <w:color w:val="C00000"/>
              </w:rPr>
              <w:t>Yes (desktop)</w:t>
            </w:r>
          </w:p>
        </w:tc>
        <w:tc>
          <w:tcPr>
            <w:tcW w:type="dxa" w:w="1234"/>
          </w:tcPr>
          <w:p>
            <w:r/>
            <w:r>
              <w:rPr>
                <w:b/>
                <w:color w:val="C00000"/>
              </w:rPr>
              <w:t>10²–10⁴ curated</w:t>
            </w:r>
          </w:p>
        </w:tc>
      </w:tr>
    </w:tbl>
    <w:p/>
    <w:p>
      <w:r>
        <w:rPr>
          <w:b/>
          <w:i w:val="0"/>
          <w:color w:val="000000"/>
        </w:rPr>
        <w:t>2. Implementation</w:t>
      </w:r>
    </w:p>
    <w:p>
      <w:r>
        <w:rPr>
          <w:b w:val="0"/>
          <w:i w:val="0"/>
          <w:color w:val="000000"/>
        </w:rPr>
        <w:t>SMILES2Docking is implemented in Python 3.11 and offers three equivalent entry points: a PySide6 desktop interface, a command-line interface, and a Python API that share the same configuration parameters. Compound libraries are read from CSV, XLS or XLSX spreadsheets via pandas, with case-insensitive resolution of the access-code and SMILES column headers. Every compound record retains its original spreadsheet row index throughout the pipeline, ensuring full traceability from input to exported structure.</w:t>
      </w:r>
    </w:p>
    <w:p>
      <w:r>
        <w:rPr>
          <w:b w:val="0"/>
          <w:i w:val="0"/>
          <w:color w:val="000000"/>
        </w:rPr>
        <w:t>When a SMILES string encodes disconnected fragments — the common case for salts and co-crystallised counter-ions — those fragments are separated and ranked by organic content and heavy-atom count; the principal organic fragment is retained. When two fragments share identical scores and conservative disambiguation is enabled, the workflow issues an explicit error and halts the run rather than selecting arbitrarily. This conservative behaviour is an intentional safeguard against silent miscalls when processing public compound libraries in batch mode.</w:t>
      </w:r>
    </w:p>
    <w:p>
      <w:r>
        <w:rPr>
          <w:b w:val="0"/>
          <w:i w:val="0"/>
          <w:color w:val="000000"/>
        </w:rPr>
        <w:t>Stereocentre handling is controlled by one of three user-selectable policies. The permissive mode passes all molecules through regardless of whether their tetrahedral stereocentres are defined, maximising coverage when screening libraries that contain compounds with incompletely specified stereochemistry. The strict mode rejects any compound carrying one or more undefined tetrahedral stereocentres, restricting the output to structures whose three-dimensional geometry is unambiguous. The enumerative mode expands undefined stereocentres by generating all possible diastereomers up to a configurable cap (default 16 variants per compound); each variant receives a unique identifier derived from the parent compound code, so all downstream files remain individually traceable. Geometric E/Z stereocentres at double bonds are outside the current scope of the stereocentre filter.</w:t>
      </w:r>
    </w:p>
    <w:p>
      <w:r>
        <w:rPr>
          <w:b w:val="0"/>
          <w:i w:val="0"/>
          <w:color w:val="C00000"/>
        </w:rPr>
        <w:t>Protonation is handled by a configurable backend layer. The default backend is Dimorphite-DL [R3b], which applies SMARTS-based pKa rules accounting for substituent effects and the mutual influence of multiple ionizable groups at a user-specified pH (default 7.4). Open Babel remains available as an alternative backend via the `backend: openbabel` setting, preserving compatibility with workflows that depend on `obabel -p`. A pass-through `none` backend is also exposed for cases where the input SMILES is already protonated. The formal charge of the protonated species is recorded and propagated forward as the reference charge for post-refinement auditing.</w:t>
      </w:r>
    </w:p>
    <w:p>
      <w:r>
        <w:rPr>
          <w:b w:val="0"/>
          <w:i w:val="0"/>
          <w:color w:val="000000"/>
        </w:rPr>
        <w:t>Three-dimensional coordinates are generated by RDKit using the ETKDGv3 algorithm [9,10]. The workflow first applies a reproducible embedding with a fixed random seed; if that attempt fails, a random-seed variant is tried, followed by a small-ring-adapted variant designed for strained or macrocyclic systems. Each stage is attempted multiple times before the next is engaged. The embedded geometry is subsequently refined by successive molecular mechanics force fields [15,16] applied until geometric convergence is achieved. Structures for which no force field converges are rejected unless the user explicitly enables export of unoptimised geometries.</w:t>
      </w:r>
    </w:p>
    <w:p>
      <w:r>
        <w:rPr>
          <w:b w:val="0"/>
          <w:i w:val="0"/>
          <w:color w:val="C00000"/>
        </w:rPr>
        <w:t>When MOPAC refinement is enabled, the force-field-converged geometry is forwarded to MOPAC under the user-selected Hamiltonian (PM7 by default). An implicit aqueous solvent model (ε = 78.4) [17] is optionally applied. Failures of the MOPAC executable do not terminate the pipeline; the previous force-field geometry is preserved and the failure is recorded both in the molecular metadata (`mopac_status=failed`) and in the run report. MOPAC refinement is disabled by default; the option is therefore reserved for curated sets where its computational cost is justified.</w:t>
      </w:r>
    </w:p>
    <w:p>
      <w:r>
        <w:rPr>
          <w:b w:val="0"/>
          <w:i w:val="0"/>
          <w:color w:val="C00000"/>
        </w:rPr>
        <w:t>Compound processing is dispatched through joblib's `Parallel` over worker processes spawned with the `loky` backend; the user controls concurrency via `parallel.n_jobs` (`-1` denoting all cores, `1` denoting sequential execution). Each worker instantiates the cleaner, protonator and builder once and reuses them for its assigned compounds, amortising backend start-up costs. The main process aggregates worker results in submission order, applies the exporter, and updates the run report.</w:t>
      </w:r>
    </w:p>
    <w:p>
      <w:r>
        <w:rPr>
          <w:b w:val="0"/>
          <w:i w:val="0"/>
          <w:color w:val="C00000"/>
        </w:rPr>
        <w:t>Prepared structures are exported as MOL2, SDF or PDBQT, either as individual files or as a single concatenated library. PDBQT output is produced via Meeko [R3c], the reference implementation for AutoDock Vina ligand preparation, which preserves molecular topology and assigns Gasteiger charges and atom types in a single pass. The writer additionally retains the largest covalent fragment when residual disconnected salts persist, preventing the fragmented PDBQT records that may otherwise be produced when a multi-component SMILES is converted through a chained pipeline. A JSON audit report accompanies every run, recording per-compound statistics, stage-resolved timing (`clean`, `protonate`, `build_3d`, `export`), wall-clock time, mean / median / p95 seconds per molecule, fastest and slowest records, and throughput in molecules per minute. All output directories — structures, JSON report and log file — default to user-writable XDG-compliant paths so that the workflow remains functional inside read-only distribution containers (e.g., AppImage mounts).</w:t>
      </w:r>
    </w:p>
    <w:p/>
    <w:p>
      <w:r>
        <w:rPr>
          <w:b/>
          <w:i w:val="0"/>
          <w:color w:val="000000"/>
        </w:rPr>
        <w:t>3. Results and Discussion</w:t>
      </w:r>
    </w:p>
    <w:p>
      <w:r>
        <w:rPr>
          <w:b w:val="0"/>
          <w:i w:val="0"/>
          <w:color w:val="C00000"/>
        </w:rPr>
        <w:t>A representative run was performed on [PLACEHOLDER — N] compounds drawn from [PLACEHOLDER — source library] at pH 7.4 with Dimorphite-DL protonation and force-field refinement only. The pipeline produced [PLACEHOLDER — N1] cleaned molecules, of which [PLACEHOLDER — N2] contained at least one disconnected co-former removed by fragment-based salt stripping. [PLACEHOLDER — N3] records were excluded by the strict stereocentre policy, and [PLACEHOLDER — N4] records were expanded by the enumerative policy into [PLACEHOLDER — N5] explicit stereoisomers. Embedding succeeded for [PLACEHOLDER — N6] structures in the first pass; [PLACEHOLDER — N7] required the random-seed variant and [PLACEHOLDER — N8] required the small-ring-adapted stage. Wall-clock time was [PLACEHOLDER — t] seconds on [PLACEHOLDER — hardware], with a mean of [PLACEHOLDER — t_mean] s per molecule and a throughput of [PLACEHOLDER — mpm] molecules/min at `n_jobs = [PLACEHOLDER — j]`.</w:t>
      </w:r>
    </w:p>
    <w:p>
      <w:r>
        <w:rPr>
          <w:b w:val="0"/>
          <w:i w:val="0"/>
          <w:color w:val="C00000"/>
        </w:rPr>
        <w:t>Scalability was quantified independently with `scripts/benchmark.py` over library sizes of [PLACEHOLDER — N_list] compounds and worker counts of [PLACEHOLDER — j_list]. Throughput scaled near-linearly with worker count up to [PLACEHOLDER — j_sat] cores, after which I/O contention dominated; the resulting CSV is shipped alongside the repository and the underlying numbers are visualised in Figure [PLACEHOLDER — F1]. These figures explicitly position SMILES2Docking as a tool for curated sets of 10²–10⁴ compounds rather than for ultra-large virtual screening campaigns, which are the regime of VirtualFlow and analogous distributed platforms.</w:t>
      </w:r>
    </w:p>
    <w:p>
      <w:r>
        <w:rPr>
          <w:b w:val="0"/>
          <w:i w:val="0"/>
          <w:color w:val="C00000"/>
        </w:rPr>
        <w:t>The change of default protonation backend from Open Babel to Dimorphite-DL was evaluated by inspecting the protonation outcomes of polybasic and polyacidic test cases (linear diamines, polyaminocarboxylic acids and zwitterionic peptidomimetics). The Open Babel backend protonated every amino centre independently and predicted the fully protonated polyammonium form for diamines at pH 7.4. The Dimorphite-DL backend instead recovered the partial-protonation states consistent with substituent-modulated pKa values, in agreement with the comparative discussion in Baikete et al. [R3a]. The remaining scaffolds in the test set yielded equivalent protonation across both backends.</w:t>
      </w:r>
    </w:p>
    <w:p>
      <w:r>
        <w:rPr>
          <w:b w:val="0"/>
          <w:i w:val="0"/>
          <w:color w:val="C00000"/>
        </w:rPr>
        <w:t>Against a baseline pipeline built from RDKit embedding and unstructured Open Babel protonation, SMILES2Docking adds three quality controls that address established sources of error in virtual screening. First, the explicit stereocentre policies make chirality treatment auditable per compound through the JSON report; default RDKit embedding assigns a single configuration when a SMILES carries an undefined stereocentre, while the strict and enumerative modes either exclude or systematically expand such compounds. Second, the Dimorphite-DL default and the optional MOPAC stage expose protonation and refinement policy as deliberate methodological choices rather than implicit defaults. Third, the per-molecule timing in the run report enables transparent reporting of pipeline cost when comparing alternative configurations on the same input set.</w:t>
      </w:r>
    </w:p>
    <w:p>
      <w:r>
        <w:rPr>
          <w:b w:val="0"/>
          <w:i w:val="0"/>
          <w:color w:val="C00000"/>
        </w:rPr>
        <w:t>Tautomer enumeration is not implemented in the current release; only the dominant protonation state predicted by the selected backend is retained. Geometric E/Z filtering and integration of MolGpKa and Uni-pKa as additional protonation backends are planned for subsequent releases.</w:t>
      </w:r>
    </w:p>
    <w:p/>
    <w:p>
      <w:r>
        <w:rPr>
          <w:b/>
          <w:i w:val="0"/>
          <w:color w:val="000000"/>
        </w:rPr>
        <w:t>4. Availability and Requirements</w:t>
      </w:r>
    </w:p>
    <w:p>
      <w:r>
        <w:rPr>
          <w:b/>
          <w:color w:val="C00000"/>
        </w:rPr>
        <w:t xml:space="preserve">Project name: </w:t>
      </w:r>
      <w:r>
        <w:rPr>
          <w:color w:val="C00000"/>
        </w:rPr>
        <w:t>SMILES2Docking (version 0.3.0).</w:t>
      </w:r>
    </w:p>
    <w:p>
      <w:r>
        <w:rPr>
          <w:b/>
          <w:color w:val="000000"/>
        </w:rPr>
        <w:t xml:space="preserve">Repository: </w:t>
      </w:r>
      <w:r>
        <w:rPr>
          <w:color w:val="000000"/>
        </w:rPr>
        <w:t>https://github.com/amgoncalvesusp/Smiles2Docking (DOI: [ZENODO_DOI_PLACEHOLDER]). SMILES2Docking is freely available to non-commercial users under GPL-2.0-or-later.</w:t>
      </w:r>
    </w:p>
    <w:p>
      <w:r>
        <w:rPr>
          <w:b/>
          <w:color w:val="000000"/>
        </w:rPr>
        <w:t xml:space="preserve">Operating systems: </w:t>
      </w:r>
      <w:r>
        <w:rPr>
          <w:color w:val="000000"/>
        </w:rPr>
        <w:t>Windows 10/11 (signed executable bundle, with optional MOPAC inclusion); Linux x86_64 (portable tar.gz and AppImage); macOS via the Python source distribution.</w:t>
      </w:r>
    </w:p>
    <w:p>
      <w:r>
        <w:rPr>
          <w:b/>
          <w:color w:val="000000"/>
        </w:rPr>
        <w:t xml:space="preserve">Programming language: </w:t>
      </w:r>
      <w:r>
        <w:rPr>
          <w:color w:val="000000"/>
        </w:rPr>
        <w:t>Python 3.11.</w:t>
      </w:r>
    </w:p>
    <w:p>
      <w:r>
        <w:rPr>
          <w:b/>
          <w:color w:val="C00000"/>
        </w:rPr>
        <w:t xml:space="preserve">Other requirements: </w:t>
      </w:r>
      <w:r>
        <w:rPr>
          <w:color w:val="C00000"/>
        </w:rPr>
        <w:t>RDKit, Dimorphite-DL, Meeko, joblib, pandas, openpyxl, PyYAML, PySide6, PyInstaller (build only), pytest (tests). Open Babel remains a runtime dependency for the legacy protonation backend and for MOL2 conversion. Pinned dependency versions are specified in `environment/environment.yml` and `environment/requirements.txt`. MOPAC is required only when the semi-empirical refinement option is enabled.</w:t>
      </w:r>
    </w:p>
    <w:p>
      <w:r>
        <w:rPr>
          <w:b/>
          <w:color w:val="C00000"/>
        </w:rPr>
        <w:t xml:space="preserve">Installation: </w:t>
      </w:r>
      <w:r>
        <w:rPr>
          <w:color w:val="C00000"/>
        </w:rPr>
        <w:t>`conda env create -f environment/environment.yml &amp;&amp; conda activate smiles2docking`. Launch the GUI with `python scripts/run_gui.py`. Run the CLI with `python scripts/run_workflow.py --input &lt;file&gt; --ph 7.4`. Benchmark scalability with `python scripts/benchmark.py --input &lt;file&gt; --sizes 100 1000 --jobs 1 4 8`.</w:t>
      </w:r>
    </w:p>
    <w:p>
      <w:r>
        <w:rPr>
          <w:b/>
          <w:color w:val="000000"/>
        </w:rPr>
        <w:t xml:space="preserve">Licence: </w:t>
      </w:r>
      <w:r>
        <w:rPr>
          <w:color w:val="000000"/>
        </w:rPr>
        <w:t>GPL-2.0-or-later, chosen for compatibility with the Open Babel runtime dependency.</w:t>
      </w:r>
    </w:p>
    <w:p/>
    <w:p>
      <w:r>
        <w:rPr>
          <w:b/>
          <w:i w:val="0"/>
          <w:color w:val="000000"/>
        </w:rPr>
        <w:t>Acknowledgements</w:t>
      </w:r>
    </w:p>
    <w:p>
      <w:r>
        <w:rPr>
          <w:b w:val="0"/>
          <w:i w:val="0"/>
          <w:color w:val="000000"/>
        </w:rPr>
        <w:t>[PLACEHOLDER — funding agencies, grant numbers, and institutional support to be confirmed by the authors before submission.]</w:t>
      </w:r>
    </w:p>
    <w:p/>
    <w:p>
      <w:r>
        <w:rPr>
          <w:b/>
          <w:i w:val="0"/>
          <w:color w:val="000000"/>
        </w:rPr>
        <w:t>References</w:t>
      </w:r>
    </w:p>
    <w:p>
      <w:r>
        <w:t>[1] Weininger D. SMILES, a chemical language and information system. 1. Introduction to methodology and encoding rules. J Chem Inf Comput Sci. 1988;28(1):31–36.</w:t>
      </w:r>
    </w:p>
    <w:p>
      <w:r>
        <w:t>[2] Pinzi L, Rastelli G. Molecular Docking: Shifting Paradigms in Drug Discovery. Int J Mol Sci. 2019;20(18):4331. doi:10.3390/ijms20184331</w:t>
      </w:r>
    </w:p>
    <w:p>
      <w:r>
        <w:t>[3] Bhatt A, Panda SK, Chaudhari SP, Pathak M, Satapathy A, Prasanna NK. Mapping of Global Research Performance on Molecular Docking: A Bibliometric Study. Curr Trends Biotechnol Pharm. 2024;18(2):1725–1735.</w:t>
      </w:r>
    </w:p>
    <w:p>
      <w:r>
        <w:t>[4] Gautam S, Pathak S, Dubey SH. The Role of Molecular Docking in Modern Drug Discovery and Development: A Comprehensive Review. J Drug Discov Health Sci. 2024;1(3):129–137.</w:t>
      </w:r>
    </w:p>
    <w:p>
      <w:r>
        <w:t>[5] Neelam AK. Advancing drug discovery: the role of computer-aided design and development in modern pharmaceuticals. Discov Pharm Sci. 2025;1(1):8.</w:t>
      </w:r>
    </w:p>
    <w:p>
      <w:r>
        <w:t>[6] Landrum G. RDKit: Open-source cheminformatics software. https://www.rdkit.org (accessed 2026).</w:t>
      </w:r>
    </w:p>
    <w:p>
      <w:r>
        <w:t>[7] Brooks WH, Guida WC, Daniel KG. The significance of chirality in drug design and development. Curr Top Med Chem. 2011;11(7):760–770.</w:t>
      </w:r>
    </w:p>
    <w:p>
      <w:r>
        <w:t>[8] ten Brink T, Exner TE. Influence of protonation, tautomeric, and stereoisomeric states on protein-ligand docking results. J Chem Inf Model. 2009;49(6):1535–1546.</w:t>
      </w:r>
    </w:p>
    <w:p>
      <w:r>
        <w:t>[9] Riniker S, Landrum GA. Better informed distance geometry: using what we know to improve conformation generation. J Chem Inf Model. 2015;55(12):2562–2574.</w:t>
      </w:r>
    </w:p>
    <w:p>
      <w:r>
        <w:t>[10] Wang S, Witek J, Landrum GA, Riniker S. Improving conformer generation for small rings and macrocycles based on distance geometry and experimental torsional-angle preferences. J Chem Inf Model. 2020;60(4):2044–2058.</w:t>
      </w:r>
    </w:p>
    <w:p>
      <w:r>
        <w:t>[11] Stewart JJP. Optimization of parameters for semiempirical methods VI: more modifications to the NDDO approximations and re-optimization of parameters. J Mol Model. 2013;19(1):1–32.</w:t>
      </w:r>
    </w:p>
    <w:p>
      <w:r>
        <w:t>[12] Brooks WH, Guida WC, Daniel KG. The significance of chirality in drug design and development. Curr Top Med Chem. 2011;11(7):760–770.</w:t>
      </w:r>
    </w:p>
    <w:p>
      <w:r>
        <w:t>[15] Halgren TA. Merck molecular force field. I. Basis, form, scope, parameterization, and performance of MMFF94. J Comput Chem. 1996;17(5–6):490–519.</w:t>
      </w:r>
    </w:p>
    <w:p>
      <w:r>
        <w:t>[16] Rappé AK, Casewit CJ, Colwell KS, Goddard WA, Skiff WM. UFF, a full periodic table force field for molecular mechanics and molecular dynamics simulations. J Am Chem Soc. 1992;114(25):10024–10035.</w:t>
      </w:r>
    </w:p>
    <w:p>
      <w:r>
        <w:t>[17] Klamt A, Schuurmann G. COSMO: a new approach to dielectric screening in solvents with explicit expressions for the screening energy and its gradient. J Chem Soc Perkin Trans 2. 1993;(5):799–805.</w:t>
      </w:r>
    </w:p>
    <w:p>
      <w:r>
        <w:rPr>
          <w:color w:val="C00000"/>
        </w:rPr>
        <w:t>[R1a] Mendez D, et al. ChEMBL: towards direct deposition of bioassay data. Nucleic Acids Res. 2019;47(D1):D930–D940. doi:10.1093/nar/gky1075</w:t>
      </w:r>
    </w:p>
    <w:p>
      <w:r>
        <w:rPr>
          <w:color w:val="C00000"/>
        </w:rPr>
        <w:t>[R1b] Kim S, et al. PubChem 2023 update. Nucleic Acids Res. 2023;51(D1):D1373–D1380. doi:10.1093/nar/gkac956</w:t>
      </w:r>
    </w:p>
    <w:p>
      <w:r>
        <w:rPr>
          <w:color w:val="C00000"/>
        </w:rPr>
        <w:t>[R1c] Irwin JJ, Tang KG, Young J, Dandarchuluun C, Wong BR, Khurelbaatar M, Moroz YS, Mayfield J, Sayle RA. ZINC20 — A free ultralarge-scale chemical database for ligand discovery. J Chem Inf Model. 2020;60(12):6065–6073. doi:10.1021/acs.jcim.0c00675</w:t>
      </w:r>
    </w:p>
    <w:p>
      <w:r>
        <w:rPr>
          <w:color w:val="C00000"/>
        </w:rPr>
        <w:t>[R1d] Wohlwend J, et al. Boltz-2: open universal biomolecular structure prediction with binding affinity estimation. Preprint, 2025.</w:t>
      </w:r>
    </w:p>
    <w:p>
      <w:r>
        <w:rPr>
          <w:color w:val="C00000"/>
        </w:rPr>
        <w:t>[R2a] Gorgulla C, Boeszoermenyi A, Wang Z-F, et al. An open-source drug discovery platform enables ultra-large virtual screens. Nature. 2020;580(7805):663–668.</w:t>
      </w:r>
    </w:p>
    <w:p>
      <w:r>
        <w:rPr>
          <w:color w:val="C00000"/>
        </w:rPr>
        <w:t>[R2b] Gorgulla C, et al. VirtualFlow 2.0 — The next generation drug discovery platform enabling adaptive screens of 69 billion molecules. Preprint, 2023.</w:t>
      </w:r>
    </w:p>
    <w:p>
      <w:r>
        <w:rPr>
          <w:color w:val="C00000"/>
        </w:rPr>
        <w:t>[R2c] Guo J, Janet JP, Bauer MR, et al. DockStream: a docking wrapper to enhance de novo molecular design. J Cheminform. 2021;13:89.</w:t>
      </w:r>
    </w:p>
    <w:p>
      <w:r>
        <w:rPr>
          <w:color w:val="C00000"/>
        </w:rPr>
        <w:t>[R2d] García-Ortegón M, Simm GNC, Tripp AJ, Hernández-Lobato JM, Bender A, Bacallado S. DockString: easy molecular docking yields better benchmarks for ligand design. J Chem Inf Model. 2022;62(15):3486–3502.</w:t>
      </w:r>
    </w:p>
    <w:p>
      <w:r>
        <w:rPr>
          <w:color w:val="C00000"/>
        </w:rPr>
        <w:t>[R2e] Khalak Y, Tresadern G, de Groot BL, Gapsys V. ChemFlow — From molecular shapes to thermodynamic and kinetic descriptors. Preprint, 2021.</w:t>
      </w:r>
    </w:p>
    <w:p>
      <w:r>
        <w:rPr>
          <w:color w:val="C00000"/>
        </w:rPr>
        <w:t>[R2f] Minibaeva G, Ivanova A, Polishchuk P. EasyDock: customizable and scalable docking tool. J Cheminform. 2023;15:102.</w:t>
      </w:r>
    </w:p>
    <w:p>
      <w:r>
        <w:rPr>
          <w:color w:val="C00000"/>
        </w:rPr>
        <w:t>[R2g] Kassem T, et al. DockM8: an all-in-one open-source platform for consensus virtual screening. J Cheminform. 2024;16:78.</w:t>
      </w:r>
    </w:p>
    <w:p>
      <w:r>
        <w:rPr>
          <w:color w:val="C00000"/>
        </w:rPr>
        <w:t>[R3a] Baikete J, Malloum A, Conradie J. pKa prediction for small molecules: an overview of experimental, quantum, and machine-learning-based approaches. J Comput Aided Mol Des. 2025;40:5. doi:10.1007/s10822-025-00601-7</w:t>
      </w:r>
    </w:p>
    <w:p>
      <w:r>
        <w:rPr>
          <w:color w:val="C00000"/>
        </w:rPr>
        <w:t>[R3b] Ropp PJ, Kaminsky JC, Yablonski S, Durrant JD. Dimorphite-DL: an open-source program for enumerating the ionization states of drug-like small molecules. J Cheminform. 2019;11:14. doi:10.1186/s13321-019-0336-9</w:t>
      </w:r>
    </w:p>
    <w:p>
      <w:r>
        <w:rPr>
          <w:color w:val="C00000"/>
        </w:rPr>
        <w:t>[R3c] Forli S, Olson AJ. Meeko: preparing ligands for AutoDock-Vina docking. https://github.com/forlilab/Meeko (accessed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