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rFonts w:ascii="Arial" w:cs="Arial" w:eastAsia="Arial" w:hAnsi="Arial"/>
          <w:sz w:val="24"/>
          <w:szCs w:val="24"/>
          <w:lang w:val="en-US"/>
        </w:rPr>
      </w:pPr>
      <w:r>
        <w:rPr>
          <w:rFonts w:ascii="Arial" w:cs="Arial" w:eastAsia="Arial" w:hAnsi="Arial"/>
          <w:sz w:val="24"/>
          <w:szCs w:val="24"/>
          <w:lang w:val="en-US"/>
        </w:rPr>
        <w:t>Twitter and the Electoral Connection</w:t>
      </w:r>
    </w:p>
    <w:p>
      <w:pPr>
        <w:rPr>
          <w:rFonts w:ascii="Arial" w:cs="Arial" w:eastAsia="Arial" w:hAnsi="Arial"/>
          <w:sz w:val="24"/>
          <w:szCs w:val="24"/>
          <w:lang w:val="en-US"/>
        </w:rPr>
      </w:pPr>
      <w:r>
        <w:rPr>
          <w:rFonts w:ascii="Arial" w:cs="Arial" w:eastAsia="Arial" w:hAnsi="Arial"/>
          <w:sz w:val="24"/>
          <w:szCs w:val="24"/>
          <w:lang w:val="en-US"/>
        </w:rPr>
        <w:t>Thomas Gray and Carlos Gutierrez Mannix</w:t>
      </w:r>
    </w:p>
    <w:p>
      <w:pPr>
        <w:rPr>
          <w:rFonts w:ascii="Arial" w:cs="Arial" w:eastAsia="Arial" w:hAnsi="Arial"/>
          <w:sz w:val="24"/>
          <w:szCs w:val="24"/>
          <w:lang w:val="en-US"/>
        </w:rPr>
      </w:pPr>
      <w:r>
        <w:rPr>
          <w:rFonts w:ascii="Arial" w:cs="Arial" w:eastAsia="Arial" w:hAnsi="Arial"/>
          <w:sz w:val="24"/>
          <w:szCs w:val="24"/>
          <w:lang w:val="en-US"/>
        </w:rPr>
        <w:t>November , 2020</w:t>
      </w:r>
    </w:p>
    <w:p>
      <w:pPr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lang w:val="en-US"/>
        </w:rPr>
        <w:t xml:space="preserve">The vast majority of major US politicians utilize the social-media platform Twitter to engage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directly with other political elites and voters. The exact motivations that determine the choice to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use Twitter, and how much to use it, remain opaque. Politicians may want to engage in the same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personal expression that millions of others engage in. They may also wish to use the platform to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announce their official behavior directly to citizens, bypassing news media. However, we argue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that there is a clear “electoral connection” for using Twitter that perhaps exceeds the influence of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other motivations. Politicians use Twitter to cultivate support from electorally relevant actors.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To test this, we analyze a set of statewide office holders who vary in their means of selection: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state attorneys general. We find that elected AGs are more likely to have Twitter accounts, use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the accounts more often, and receive more engagement with other Twitter users as a result. We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also find that they engage in more automated tweeting in the style of corporate accounts. We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replicate our primary findings on another statewide office, state secretaries of state, and find very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similar results. Collectively, these findings point to the importance of elections for motivating </w:t>
      </w:r>
      <w:r>
        <w:rPr>
          <w:rFonts w:ascii="Arial" w:cs="Arial" w:eastAsia="Arial" w:hAnsi="Arial"/>
          <w:sz w:val="24"/>
          <w:szCs w:val="24"/>
          <w:lang w:val="en-US"/>
        </w:rPr>
        <w:t>social-media use by politicians.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