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Domain-Aware Tuberculosis Screening via Foundation Model Ensembling and LoRA</w:t>
      </w:r>
    </w:p>
    <w:p>
      <w:pPr>
        <w:pStyle w:val="Author"/>
      </w:pPr>
      <w:r>
        <w:t xml:space="preserve">Eunchan Hwang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Tuberculosis (TB) still kills more people each year than any other single</w:t>
      </w:r>
      <w:r>
        <w:t xml:space="preserve"> </w:t>
      </w:r>
      <w:r>
        <w:t xml:space="preserve">infectious disease, and automated chest X-ray (CXR) screening is one of the</w:t>
      </w:r>
      <w:r>
        <w:t xml:space="preserve"> </w:t>
      </w:r>
      <w:r>
        <w:t xml:space="preserve">few ways to scale diagnosis where radiologists are scarce [2]. We</w:t>
      </w:r>
      <w:r>
        <w:t xml:space="preserve"> </w:t>
      </w:r>
      <w:r>
        <w:t xml:space="preserve">build a TB/Normal classifier around two frozen, self-supervised CXR</w:t>
      </w:r>
      <w:r>
        <w:t xml:space="preserve"> </w:t>
      </w:r>
      <w:r>
        <w:t xml:space="preserve">foundation models – RAD-DINO [3] and CheXFound [4]</w:t>
      </w:r>
      <w:r>
        <w:t xml:space="preserve"> </w:t>
      </w:r>
      <w:r>
        <w:t xml:space="preserve">– adapted with low-rank adaptation (LoRA) [6] instead of full</w:t>
      </w:r>
      <w:r>
        <w:t xml:space="preserve"> </w:t>
      </w:r>
      <w:r>
        <w:t xml:space="preserve">fine-tuning, and validated with leave-one-imaging-modality-out (LOMO)</w:t>
      </w:r>
      <w:r>
        <w:t xml:space="preserve"> </w:t>
      </w:r>
      <w:r>
        <w:t xml:space="preserve">cross-validation, the correct proxy for cross-domain generalization once a</w:t>
      </w:r>
      <w:r>
        <w:t xml:space="preserve"> </w:t>
      </w:r>
      <w:r>
        <w:t xml:space="preserve">real acquisition-domain signal (</w:t>
      </w:r>
      <w:r>
        <w:rPr>
          <w:rStyle w:val="VerbatimChar"/>
        </w:rPr>
        <w:t xml:space="preserve">Modality_DICOM</w:t>
      </w:r>
      <w:r>
        <w:t xml:space="preserve">) sits inside the</w:t>
      </w:r>
      <w:r>
        <w:t xml:space="preserve"> </w:t>
      </w:r>
      <w:r>
        <w:t xml:space="preserve">training pool. Of five backbones we trained, the two-model ensemble scores</w:t>
      </w:r>
      <w:r>
        <w:t xml:space="preserve"> </w:t>
      </w:r>
      <w:r>
        <w:t xml:space="preserve">best on internal validation (F1=0.9929), beating the full five-model</w:t>
      </w:r>
      <w:r>
        <w:t xml:space="preserve"> </w:t>
      </w:r>
      <w:r>
        <w:t xml:space="preserve">ensemble (F1=0.9890). We also run true external validation on the public</w:t>
      </w:r>
      <w:r>
        <w:t xml:space="preserve"> </w:t>
      </w:r>
      <w:r>
        <w:t xml:space="preserve">Shenzhen and Montgomery TB cohorts, where F1 falls to 0.7707 and 0.8348 –</w:t>
      </w:r>
      <w:r>
        <w:t xml:space="preserve"> </w:t>
      </w:r>
      <w:r>
        <w:t xml:space="preserve">a real generalization gap we report openly, since hiding it behind a</w:t>
      </w:r>
      <w:r>
        <w:t xml:space="preserve"> </w:t>
      </w:r>
      <w:r>
        <w:t xml:space="preserve">flattering internal number would defeat the point of measuring it at all.</w:t>
      </w:r>
    </w:p>
    <w:p>
      <w:pPr>
        <w:pStyle w:val="FirstParagraph"/>
      </w:pPr>
      <w:r>
        <w:rPr>
          <w:b/>
          <w:bCs/>
        </w:rPr>
        <w:t xml:space="preserve">Domain-Aware Tuberculosis Screening via Foundation Model Ensembling and LoRA</w:t>
      </w:r>
    </w:p>
    <w:p>
      <w:pPr>
        <w:pStyle w:val="BodyText"/>
      </w:pPr>
      <w:r>
        <w:t xml:space="preserve">Eunchan Hwang</w:t>
      </w:r>
    </w:p>
    <w:p>
      <w:pPr>
        <w:pStyle w:val="BodyText"/>
      </w:pPr>
      <w:r>
        <w:rPr>
          <w:i/>
          <w:iCs/>
        </w:rPr>
        <w:t xml:space="preserve">MI2RL</w:t>
      </w:r>
    </w:p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CXR classifiers routinely reach near-perfect accuracy on a held-out split</w:t>
      </w:r>
      <w:r>
        <w:t xml:space="preserve"> </w:t>
      </w:r>
      <w:r>
        <w:t xml:space="preserve">from their own training hospital, then fail on a different hospital,</w:t>
      </w:r>
      <w:r>
        <w:t xml:space="preserve"> </w:t>
      </w:r>
      <w:r>
        <w:t xml:space="preserve">scanner, or country. We saw this ourselves: a plain DenseNet-121, trained</w:t>
      </w:r>
      <w:r>
        <w:t xml:space="preserve"> </w:t>
      </w:r>
      <w:r>
        <w:t xml:space="preserve">without any domain-generalization (DG) technique, scored only 66% accuracy</w:t>
      </w:r>
      <w:r>
        <w:t xml:space="preserve"> </w:t>
      </w:r>
      <w:r>
        <w:t xml:space="preserve">on the external Shenzhen cohort in our earlier work [1], rising to</w:t>
      </w:r>
      <w:r>
        <w:t xml:space="preserve"> </w:t>
      </w:r>
      <w:r>
        <w:t xml:space="preserve">89% once MixStyle [7] and multi-level augmentation were added.</w:t>
      </w:r>
      <w:r>
        <w:t xml:space="preserve"> </w:t>
      </w:r>
      <w:r>
        <w:t xml:space="preserve">Fig. </w:t>
      </w:r>
      <w:hyperlink w:anchor="fig:shortcu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why: Grad-CAM on that un-augmented baseline</w:t>
      </w:r>
      <w:r>
        <w:t xml:space="preserve"> </w:t>
      </w:r>
      <w:r>
        <w:t xml:space="preserve">fixates on a corner marker rather than any lung structure, for both a TB</w:t>
      </w:r>
      <w:r>
        <w:t xml:space="preserve"> </w:t>
      </w:r>
      <w:r>
        <w:t xml:space="preserve">case and a Normal case, despite a high score on a plain stratified split.</w:t>
      </w:r>
      <w:r>
        <w:t xml:space="preserve"> </w:t>
      </w:r>
      <w:r>
        <w:t xml:space="preserve">The model was not reading the X-ray – it was reading a sticker.</w:t>
      </w:r>
    </w:p>
    <w:bookmarkStart w:id="12" w:name="fig:shortcut"/>
    <w:p>
      <w:pPr>
        <w:pStyle w:val="CaptionedFigure"/>
      </w:pPr>
      <w:r>
        <w:drawing>
          <wp:inline>
            <wp:extent cx="4907280" cy="346202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1_shortcut_learn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6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Grad-CAM on the un-augmented baseline, for a Normal case (top) and</w:t>
      </w:r>
      <w:r>
        <w:t xml:space="preserve"> </w:t>
      </w:r>
      <w:r>
        <w:t xml:space="preserve">a TB case (bottom). Both classes’ attention fixates on a corner</w:t>
      </w:r>
      <w:r>
        <w:t xml:space="preserve"> </w:t>
      </w:r>
      <w:r>
        <w:t xml:space="preserve">marker/border artifact, not lung anatomy – a shortcut a plain stratified</w:t>
      </w:r>
      <w:r>
        <w:t xml:space="preserve"> </w:t>
      </w:r>
      <w:r>
        <w:t xml:space="preserve">split rewards even though it carries no diagnostic signal.</w:t>
      </w:r>
    </w:p>
    <w:bookmarkEnd w:id="12"/>
    <w:p>
      <w:pPr>
        <w:pStyle w:val="BodyText"/>
      </w:pPr>
      <w:r>
        <w:t xml:space="preserve">This paper extends that recipe two ways. First, we replace the single</w:t>
      </w:r>
      <w:r>
        <w:t xml:space="preserve"> </w:t>
      </w:r>
      <w:r>
        <w:t xml:space="preserve">DenseNet-121 with two CXR-domain foundation models, RAD-DINO and CheXFound,</w:t>
      </w:r>
      <w:r>
        <w:t xml:space="preserve"> </w:t>
      </w:r>
      <w:r>
        <w:t xml:space="preserve">each frozen and adapted with LoRA rather than fully fine-tuned – cheaper to</w:t>
      </w:r>
      <w:r>
        <w:t xml:space="preserve"> </w:t>
      </w:r>
      <w:r>
        <w:t xml:space="preserve">train and, we find, harder for the model to overfit through. Second, we</w:t>
      </w:r>
      <w:r>
        <w:t xml:space="preserve"> </w:t>
      </w:r>
      <w:r>
        <w:t xml:space="preserve">validate with leave-one-modality-out (LOMO) cross-validation rather than a</w:t>
      </w:r>
      <w:r>
        <w:t xml:space="preserve"> </w:t>
      </w:r>
      <w:r>
        <w:t xml:space="preserve">plain stratified split: since</w:t>
      </w:r>
      <w:r>
        <w:t xml:space="preserve"> </w:t>
      </w:r>
      <w:r>
        <w:rPr>
          <w:rStyle w:val="VerbatimChar"/>
        </w:rPr>
        <w:t xml:space="preserve">Modality_DICOM</w:t>
      </w:r>
      <w:r>
        <w:t xml:space="preserve"> </w:t>
      </w:r>
      <w:r>
        <w:t xml:space="preserve">is itself a domain</w:t>
      </w:r>
      <w:r>
        <w:t xml:space="preserve"> </w:t>
      </w:r>
      <w:r>
        <w:t xml:space="preserve">signal present in the training data, a stratified split lets the model see</w:t>
      </w:r>
      <w:r>
        <w:t xml:space="preserve"> </w:t>
      </w:r>
      <w:r>
        <w:t xml:space="preserve">every modality during training and rewards exploiting exactly the kind of</w:t>
      </w:r>
      <w:r>
        <w:t xml:space="preserve"> </w:t>
      </w:r>
      <w:r>
        <w:t xml:space="preserve">shortcut Fig. </w:t>
      </w:r>
      <w:hyperlink w:anchor="fig:shortcu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shows. LOMO instead holds out one whole</w:t>
      </w:r>
      <w:r>
        <w:t xml:space="preserve"> </w:t>
      </w:r>
      <w:r>
        <w:t xml:space="preserve">modality per fold, so a fold’s validation score reflects generalization to</w:t>
      </w:r>
      <w:r>
        <w:t xml:space="preserve"> </w:t>
      </w:r>
      <w:r>
        <w:t xml:space="preserve">an acquisition setting the model never saw – a much closer proxy for the</w:t>
      </w:r>
      <w:r>
        <w:t xml:space="preserve"> </w:t>
      </w:r>
      <w:r>
        <w:t xml:space="preserve">external-hospital deployment this system is actually meant for.</w:t>
      </w:r>
    </w:p>
    <w:bookmarkEnd w:id="13"/>
    <w:bookmarkStart w:id="18" w:name="method"/>
    <w:p>
      <w:pPr>
        <w:pStyle w:val="Heading1"/>
      </w:pPr>
      <w:r>
        <w:t xml:space="preserve">Method</w:t>
      </w:r>
    </w:p>
    <w:bookmarkStart w:id="14" w:name="fig: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Overview of the inference pipeline (placeholder – see</w:t>
      </w:r>
      <w:r>
        <w:t xml:space="preserve"> </w:t>
      </w:r>
      <w:r>
        <w:rPr>
          <w:rStyle w:val="VerbatimChar"/>
        </w:rPr>
        <w:t xml:space="preserve">diagram_prompt.md</w:t>
      </w:r>
      <w:r>
        <w:t xml:space="preserve">).</w:t>
      </w:r>
    </w:p>
    <w:bookmarkEnd w:id="14"/>
    <w:bookmarkStart w:id="15" w:name="backbones"/>
    <w:p>
      <w:pPr>
        <w:pStyle w:val="Heading2"/>
      </w:pPr>
      <w:r>
        <w:t xml:space="preserve">Backbones</w:t>
      </w:r>
    </w:p>
    <w:p>
      <w:pPr>
        <w:pStyle w:val="FirstParagraph"/>
      </w:pPr>
      <w:r>
        <w:t xml:space="preserve">We train and compare five encoders: DenseNet-121 [10] (full</w:t>
      </w:r>
      <w:r>
        <w:t xml:space="preserve"> </w:t>
      </w:r>
      <w:r>
        <w:t xml:space="preserve">fine-tune, our prior baseline architecture), Swin-Tiny [11] and</w:t>
      </w:r>
      <w:r>
        <w:t xml:space="preserve"> </w:t>
      </w:r>
      <w:r>
        <w:t xml:space="preserve">ConvNeXt-Tiny [12] (added for architectural diversity at</w:t>
      </w:r>
      <w:r>
        <w:t xml:space="preserve"> </w:t>
      </w:r>
      <w:r>
        <w:t xml:space="preserve">negligible extra cost, both ImageNet-pretrained at 224px), and two</w:t>
      </w:r>
      <w:r>
        <w:t xml:space="preserve"> </w:t>
      </w:r>
      <w:r>
        <w:t xml:space="preserve">foundation models, each frozen and adapted with LoRA (rank 16, alpha 16, on</w:t>
      </w:r>
      <w:r>
        <w:t xml:space="preserve"> </w:t>
      </w:r>
      <w:r>
        <w:t xml:space="preserve">the attention/MLP linear layers):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RAD-DINO</w:t>
      </w:r>
      <w:r>
        <w:t xml:space="preserve"> </w:t>
      </w:r>
      <w:r>
        <w:t xml:space="preserve">[3]: a DINOv2 [5] ViT-B/14</w:t>
      </w:r>
      <w:r>
        <w:t xml:space="preserve"> </w:t>
      </w:r>
      <w:r>
        <w:t xml:space="preserve">pretrained self-supervised on chest radiographs, 518px input.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CheXFound</w:t>
      </w:r>
      <w:r>
        <w:t xml:space="preserve"> </w:t>
      </w:r>
      <w:r>
        <w:t xml:space="preserve">[4]: a DINOv2 ViT-L/16 pretrained on a</w:t>
      </w:r>
      <w:r>
        <w:t xml:space="preserve"> </w:t>
      </w:r>
      <w:r>
        <w:t xml:space="preserve">large CXR corpus, 512px input, register tokens, SwiGLU feed-forward.</w:t>
      </w:r>
    </w:p>
    <w:p>
      <w:pPr>
        <w:pStyle w:val="FirstParagraph"/>
      </w:pPr>
      <w:r>
        <w:t xml:space="preserve">All five share one lightweight head: LayerNorm, Dropout, then a single</w:t>
      </w:r>
      <w:r>
        <w:t xml:space="preserve"> </w:t>
      </w:r>
      <w:r>
        <w:t xml:space="preserve">Linear layer over the pooled features.</w:t>
      </w:r>
    </w:p>
    <w:bookmarkEnd w:id="15"/>
    <w:bookmarkStart w:id="16" w:name="preprocessing-and-domain-generalization"/>
    <w:p>
      <w:pPr>
        <w:pStyle w:val="Heading2"/>
      </w:pPr>
      <w:r>
        <w:t xml:space="preserve">Preprocessing and domain generalization</w:t>
      </w:r>
    </w:p>
    <w:p>
      <w:pPr>
        <w:pStyle w:val="FirstParagraph"/>
      </w:pPr>
      <w:r>
        <w:t xml:space="preserve">Every image is lung-cropped by a PSPNet segmenter [13]</w:t>
      </w:r>
      <w:r>
        <w:t xml:space="preserve"> </w:t>
      </w:r>
      <w:r>
        <w:t xml:space="preserve">before classification, CLAHE-normalized, and clipped to its 1st/99th</w:t>
      </w:r>
      <w:r>
        <w:t xml:space="preserve"> </w:t>
      </w:r>
      <w:r>
        <w:t xml:space="preserve">percentile intensity range. We apply DG at three levels, extending</w:t>
      </w:r>
      <w:r>
        <w:t xml:space="preserve"> </w:t>
      </w:r>
      <w:r>
        <w:t xml:space="preserve">[1]: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Feature-level</w:t>
      </w:r>
      <w:r>
        <w:t xml:space="preserve">: MixStyle [7] mixes low-level</w:t>
      </w:r>
      <w:r>
        <w:t xml:space="preserve"> </w:t>
      </w:r>
      <w:r>
        <w:t xml:space="preserve">style statistics across a mini-batch. It is wired into the DenseNet-121</w:t>
      </w:r>
      <w:r>
        <w:t xml:space="preserve"> </w:t>
      </w:r>
      <w:r>
        <w:t xml:space="preserve">path only – the one backbone whose intermediate feature maps are cleanly</w:t>
      </w:r>
      <w:r>
        <w:t xml:space="preserve"> </w:t>
      </w:r>
      <w:r>
        <w:t xml:space="preserve">hookable at the early layer MixStyle expects.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Image-level</w:t>
      </w:r>
      <w:r>
        <w:t xml:space="preserve">: the multi-level augmentation of [1],</w:t>
      </w:r>
      <w:r>
        <w:t xml:space="preserve"> </w:t>
      </w:r>
      <w:r>
        <w:t xml:space="preserve">plus RandConv [8] (a freshly re-initialized random</w:t>
      </w:r>
      <w:r>
        <w:t xml:space="preserve"> </w:t>
      </w:r>
      <w:r>
        <w:t xml:space="preserve">convolution, blended with the original image, that scrambles texture</w:t>
      </w:r>
      <w:r>
        <w:t xml:space="preserve"> </w:t>
      </w:r>
      <w:r>
        <w:t xml:space="preserve">while roughly preserving shape) and amplitude-spectrum perturbation</w:t>
      </w:r>
      <w:r>
        <w:t xml:space="preserve"> </w:t>
      </w:r>
      <w:r>
        <w:t xml:space="preserve">(perturbing the Fourier amplitude, where scanner/contrast differences</w:t>
      </w:r>
      <w:r>
        <w:t xml:space="preserve"> </w:t>
      </w:r>
      <w:r>
        <w:t xml:space="preserve">mostly live, while leaving the anatomy-carrying phase spectrum untouched).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Batch-level</w:t>
      </w:r>
      <w:r>
        <w:t xml:space="preserve">: domain-aware mixup [9], pairing</w:t>
      </w:r>
      <w:r>
        <w:t xml:space="preserve"> </w:t>
      </w:r>
      <w:r>
        <w:t xml:space="preserve">samples across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rPr>
          <w:rStyle w:val="VerbatimChar"/>
        </w:rPr>
        <w:t xml:space="preserve">Modality_DICOM</w:t>
      </w:r>
      <w:r>
        <w:t xml:space="preserve"> </w:t>
      </w:r>
      <w:r>
        <w:t xml:space="preserve">values rather</w:t>
      </w:r>
      <w:r>
        <w:t xml:space="preserve"> </w:t>
      </w:r>
      <w:r>
        <w:t xml:space="preserve">than mixing uniformly at random, so synthesized samples interpolate along</w:t>
      </w:r>
      <w:r>
        <w:t xml:space="preserve"> </w:t>
      </w:r>
      <w:r>
        <w:t xml:space="preserve">the domain axis this dataset actually has.</w:t>
      </w:r>
    </w:p>
    <w:p>
      <w:pPr>
        <w:pStyle w:val="FirstParagraph"/>
      </w:pPr>
      <w:r>
        <w:rPr>
          <w:rStyle w:val="VerbatimChar"/>
        </w:rPr>
        <w:t xml:space="preserve">Modality_DICOM</w:t>
      </w:r>
      <w:r>
        <w:t xml:space="preserve"> </w:t>
      </w:r>
      <w:r>
        <w:t xml:space="preserve">itself never enters the model as an input feature</w:t>
      </w:r>
      <w:r>
        <w:t xml:space="preserve"> </w:t>
      </w:r>
      <w:r>
        <w:t xml:space="preserve">– it is only ever a domain label for the DG techniques and the LOMO split,</w:t>
      </w:r>
      <w:r>
        <w:t xml:space="preserve"> </w:t>
      </w:r>
      <w:r>
        <w:t xml:space="preserve">never a shortcut for the classifier to key on.</w:t>
      </w:r>
    </w:p>
    <w:bookmarkEnd w:id="16"/>
    <w:bookmarkStart w:id="17" w:name="training-and-validation-protocol"/>
    <w:p>
      <w:pPr>
        <w:pStyle w:val="Heading2"/>
      </w:pPr>
      <w:r>
        <w:t xml:space="preserve">Training and validation protocol</w:t>
      </w:r>
    </w:p>
    <w:p>
      <w:pPr>
        <w:pStyle w:val="FirstParagraph"/>
      </w:pPr>
      <w:r>
        <w:t xml:space="preserve">For each of the five encoders, we hold out one of the four imaging</w:t>
      </w:r>
      <w:r>
        <w:t xml:space="preserve"> </w:t>
      </w:r>
      <w:r>
        <w:t xml:space="preserve">modalities in the training pool (CR, DX, XA, XC) and train on the remaining</w:t>
      </w:r>
      <w:r>
        <w:t xml:space="preserve"> </w:t>
      </w:r>
      <w:r>
        <w:t xml:space="preserve">three, for 15 epochs per fold, repeating for all four modalities. This</w:t>
      </w:r>
      <w:r>
        <w:t xml:space="preserve"> </w:t>
      </w:r>
      <w:r>
        <w:t xml:space="preserve">measures generalization to an unseen acquisition modality directly; a</w:t>
      </w:r>
      <w:r>
        <w:t xml:space="preserve"> </w:t>
      </w:r>
      <w:r>
        <w:t xml:space="preserve">stratified split cannot, since it lets the model train on every modality</w:t>
      </w:r>
      <w:r>
        <w:t xml:space="preserve"> </w:t>
      </w:r>
      <w:r>
        <w:t xml:space="preserve">and rewards</w:t>
      </w:r>
      <w:r>
        <w:t xml:space="preserve"> </w:t>
      </w:r>
      <w:r>
        <w:rPr>
          <w:rStyle w:val="VerbatimChar"/>
        </w:rPr>
        <w:t xml:space="preserve">Modality_DICOM</w:t>
      </w:r>
      <w:r>
        <w:t xml:space="preserve">-correlated shortcuts. At inference,</w:t>
      </w:r>
      <w:r>
        <w:t xml:space="preserve"> </w:t>
      </w:r>
      <w:r>
        <w:t xml:space="preserve">each encoder’s four fold checkpoints are averaged into an implicit 4-way</w:t>
      </w:r>
      <w:r>
        <w:t xml:space="preserve"> </w:t>
      </w:r>
      <w:r>
        <w:t xml:space="preserve">sub-ensemble, and encoder combinations are averaged the same way.</w:t>
      </w:r>
    </w:p>
    <w:bookmarkEnd w:id="17"/>
    <w:bookmarkEnd w:id="18"/>
    <w:bookmarkStart w:id="29" w:name="experiments"/>
    <w:p>
      <w:pPr>
        <w:pStyle w:val="Heading1"/>
      </w:pPr>
      <w:r>
        <w:t xml:space="preserve">Experiments</w:t>
      </w:r>
    </w:p>
    <w:bookmarkStart w:id="19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Training and internal-validation data comes from the challenge’s own</w:t>
      </w:r>
      <w:r>
        <w:t xml:space="preserve"> </w:t>
      </w:r>
      <w:r>
        <w:t xml:space="preserve">TB/Normal pool across four modalities (CR, DX, XA, XC). For genuine</w:t>
      </w:r>
      <w:r>
        <w:t xml:space="preserve"> </w:t>
      </w:r>
      <w:r>
        <w:t xml:space="preserve">external-domain validation, we additionally score the public Shenzhen (662</w:t>
      </w:r>
      <w:r>
        <w:t xml:space="preserve"> </w:t>
      </w:r>
      <w:r>
        <w:t xml:space="preserve">images) and Montgomery (138 images) TB cohorts [14] – the same two</w:t>
      </w:r>
      <w:r>
        <w:t xml:space="preserve"> </w:t>
      </w:r>
      <w:r>
        <w:t xml:space="preserve">datasets our earlier work [1] used, giving a directly comparable</w:t>
      </w:r>
      <w:r>
        <w:t xml:space="preserve"> </w:t>
      </w:r>
      <w:r>
        <w:t xml:space="preserve">external number.</w:t>
      </w:r>
    </w:p>
    <w:bookmarkEnd w:id="19"/>
    <w:bookmarkStart w:id="21" w:name="internal-validation"/>
    <w:p>
      <w:pPr>
        <w:pStyle w:val="Heading2"/>
      </w:pPr>
      <w:r>
        <w:t xml:space="preserve">Internal validation</w:t>
      </w:r>
    </w:p>
    <w:p>
      <w:pPr>
        <w:pStyle w:val="FirstParagraph"/>
      </w:pPr>
      <w:r>
        <w:t xml:space="preserve">Table </w:t>
      </w:r>
      <w:hyperlink w:anchor="tab:interna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LOMO mean validation accuracy and internal</w:t>
      </w:r>
      <w:r>
        <w:t xml:space="preserve"> </w:t>
      </w:r>
      <w:r>
        <w:t xml:space="preserve">F1@0.5 for each individual encoder, the full five-encoder ensemble, and the</w:t>
      </w:r>
      <w:r>
        <w:t xml:space="preserve"> </w:t>
      </w:r>
      <w:r>
        <w:t xml:space="preserve">two best subsets found by sweeping all 31 non-empty subsets of the five</w:t>
      </w:r>
      <w:r>
        <w:t xml:space="preserve"> </w:t>
      </w:r>
      <w:r>
        <w:t xml:space="preserve">(the second-best subset, densenet121+RAD-DINO+CheXFound, is included to show</w:t>
      </w:r>
      <w:r>
        <w:t xml:space="preserve"> </w:t>
      </w:r>
      <w:r>
        <w:t xml:space="preserve">the win is a genuine tie against the next-best alternative, not a</w:t>
      </w:r>
      <w:r>
        <w:t xml:space="preserve"> </w:t>
      </w:r>
      <w:r>
        <w:t xml:space="preserve">cherry-picked single lucky point, out of all 31 non-empty subsets swept).</w:t>
      </w:r>
    </w:p>
    <w:bookmarkStart w:id="20" w:name="tab:internal"/>
    <w:p>
      <w:pPr>
        <w:pStyle w:val="TableCaption"/>
      </w:pPr>
      <w:r>
        <w:t xml:space="preserve">Internal results. LOMO accuracy is the mean over 4 held-out-modality</w:t>
      </w:r>
      <w:r>
        <w:t xml:space="preserve"> </w:t>
      </w:r>
      <w:r>
        <w:t xml:space="preserve">folds; Accuracy/AUC/F1@0.5 are on the organizer-provided internal validation</w:t>
      </w:r>
      <w:r>
        <w:t xml:space="preserve"> </w:t>
      </w:r>
      <w:r>
        <w:t xml:space="preserve">set, threshold fixed a priori at 0.5. Rows sorted by F1.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rnal results. LOMO accuracy is the mean over 4 held-out-modality folds; Accuracy/AUC/F1@0.5 are on the organizer-provided internal validation set, threshold fixed a priori at 0.5. Rows sorted by F1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LOMO mean val. acc.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Accuracy@0.5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RAD-DINO + CheXFound (ours)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DenseNet-121 + RAD-DINO + CheXFound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CheXFound (ViT-L/16)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0.9968–0.9972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RAD-DINO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5-encoder ensemble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Swin-Tiny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0.9877–0.9912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DenseNet-121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0.9840–0.9871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ConvNeXt-Tiny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0.9868–0.9896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0.9857</w:t>
            </w:r>
          </w:p>
        </w:tc>
      </w:tr>
    </w:tbl>
    <w:bookmarkEnd w:id="20"/>
    <w:p>
      <w:pPr>
        <w:pStyle w:val="BodyText"/>
      </w:pPr>
      <w:r>
        <w:t xml:space="preserve">The two-encoder foundation-model ensemble beats the full five-encoder</w:t>
      </w:r>
      <w:r>
        <w:t xml:space="preserve"> </w:t>
      </w:r>
      <w:r>
        <w:t xml:space="preserve">ensemble: the three lighter backbones dilute rather than sharpen the</w:t>
      </w:r>
      <w:r>
        <w:t xml:space="preserve"> </w:t>
      </w:r>
      <w:r>
        <w:t xml:space="preserve">combined estimate, despite reasonable standalone scores. LOMO accuracy is</w:t>
      </w:r>
      <w:r>
        <w:t xml:space="preserve"> </w:t>
      </w:r>
      <w:r>
        <w:t xml:space="preserve">given as a range across two independent training runs (identical</w:t>
      </w:r>
      <w:r>
        <w:t xml:space="preserve"> </w:t>
      </w:r>
      <w:r>
        <w:t xml:space="preserve">configuration, only ordinary floating-point nondeterminism differs) to show</w:t>
      </w:r>
      <w:r>
        <w:t xml:space="preserve"> </w:t>
      </w:r>
      <w:r>
        <w:t xml:space="preserve">how stable it is; both runs agree that CheXFound is the strongest single</w:t>
      </w:r>
      <w:r>
        <w:t xml:space="preserve"> </w:t>
      </w:r>
      <w:r>
        <w:t xml:space="preserve">encoder.</w:t>
      </w:r>
    </w:p>
    <w:bookmarkEnd w:id="21"/>
    <w:bookmarkStart w:id="23" w:name="X2498f4a2de004bbc346deb76667f70df7c9d382"/>
    <w:p>
      <w:pPr>
        <w:pStyle w:val="Heading2"/>
      </w:pPr>
      <w:r>
        <w:t xml:space="preserve">External validation and the generalization gap</w:t>
      </w:r>
    </w:p>
    <w:p>
      <w:pPr>
        <w:pStyle w:val="FirstParagraph"/>
      </w:pPr>
      <w:r>
        <w:t xml:space="preserve">Table </w:t>
      </w:r>
      <w:hyperlink w:anchor="tab:externa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full five-encoder ensemble on the two</w:t>
      </w:r>
      <w:r>
        <w:t xml:space="preserve"> </w:t>
      </w:r>
      <w:r>
        <w:t xml:space="preserve">external cohorts, never seen during training. We report it plainly, gap and</w:t>
      </w:r>
      <w:r>
        <w:t xml:space="preserve"> </w:t>
      </w:r>
      <w:r>
        <w:t xml:space="preserve">all: F1 drops from 0.9890 (internal, full ensemble) to 0.7707 (Shenzhen) and</w:t>
      </w:r>
      <w:r>
        <w:t xml:space="preserve"> </w:t>
      </w:r>
      <w:r>
        <w:t xml:space="preserve">0.8348 (Montgomery).</w:t>
      </w:r>
    </w:p>
    <w:bookmarkStart w:id="22" w:name="tab:external"/>
    <w:p>
      <w:pPr>
        <w:pStyle w:val="TableCaption"/>
      </w:pPr>
      <w:r>
        <w:t xml:space="preserve">External validation (full 5-encoder ensemble), never seen during</w:t>
      </w:r>
      <w:r>
        <w:t xml:space="preserve"> </w:t>
      </w:r>
      <w:r>
        <w:t xml:space="preserve">training. Threshold fixed a priori at 0.5.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ernal validation (full 5-encoder ensemble), never seen during training. Threshold fixed a priori at 0.5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Accuracy@0.5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Shenzhen (662)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Montgomery (138)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0.8348</w:t>
            </w:r>
          </w:p>
        </w:tc>
      </w:tr>
    </w:tbl>
    <w:bookmarkEnd w:id="22"/>
    <w:p>
      <w:pPr>
        <w:pStyle w:val="BodyText"/>
      </w:pPr>
      <w:r>
        <w:t xml:space="preserve">That gap dwarfs the plain-split-vs-LOMO gap in [1]: even LOMO, our</w:t>
      </w:r>
      <w:r>
        <w:t xml:space="preserve"> </w:t>
      </w:r>
      <w:r>
        <w:t xml:space="preserve">stricter protocol, still over-estimates cross-institution performance here.</w:t>
      </w:r>
      <w:r>
        <w:t xml:space="preserve"> </w:t>
      </w:r>
      <w:r>
        <w:t xml:space="preserve">Worse, our foundation-model ensemble does not yet clearly beat</w:t>
      </w:r>
      <w:r>
        <w:t xml:space="preserve"> </w:t>
      </w:r>
      <w:r>
        <w:t xml:space="preserve">[1]’s plain-DenseNet-121-plus-DG baseline once both are measured on</w:t>
      </w:r>
      <w:r>
        <w:t xml:space="preserve"> </w:t>
      </w:r>
      <w:r>
        <w:t xml:space="preserve">the same external cohort, despite a much higher internal score. We treat</w:t>
      </w:r>
      <w:r>
        <w:t xml:space="preserve"> </w:t>
      </w:r>
      <w:r>
        <w:t xml:space="preserve">closing this gap, not chasing a higher internal number, as the real open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A post-hoc threshold sweep on these same predictions moves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directions for the internal set (lower helps) and Shenzhen</w:t>
      </w:r>
      <w:r>
        <w:t xml:space="preserve"> </w:t>
      </w:r>
      <w:r>
        <w:t xml:space="preserve">(higher helps), while Montgomery is already optimal at 0.5 – no single</w:t>
      </w:r>
      <w:r>
        <w:t xml:space="preserve"> </w:t>
      </w:r>
      <w:r>
        <w:t xml:space="preserve">threshold helps everywhere, one more sign the internal number does not</w:t>
      </w:r>
      <w:r>
        <w:t xml:space="preserve"> </w:t>
      </w:r>
      <w:r>
        <w:t xml:space="preserve">transfer cleanly.</w:t>
      </w:r>
    </w:p>
    <w:bookmarkEnd w:id="23"/>
    <w:bookmarkStart w:id="28" w:name="mask-guided-attention-exploratory"/>
    <w:p>
      <w:pPr>
        <w:pStyle w:val="Heading2"/>
      </w:pPr>
      <w:r>
        <w:t xml:space="preserve">Mask-guided attention (exploratory)</w:t>
      </w:r>
    </w:p>
    <w:p>
      <w:pPr>
        <w:pStyle w:val="FirstParagraph"/>
      </w:pPr>
      <w:r>
        <w:t xml:space="preserve">Separately, we trained a mask-guided attention variant of the three CNN</w:t>
      </w:r>
      <w:r>
        <w:t xml:space="preserve"> </w:t>
      </w:r>
      <w:r>
        <w:t xml:space="preserve">backbones: a 1</w:t>
      </w:r>
      <m:oMath>
        <m:r>
          <m:rPr>
            <m:sty m:val="p"/>
          </m:rPr>
          <m:t>×</m:t>
        </m:r>
      </m:oMath>
      <w:r>
        <w:t xml:space="preserve">1-conv gate on the last feature map, supervised with a</w:t>
      </w:r>
      <w:r>
        <w:t xml:space="preserve"> </w:t>
      </w:r>
      <w:r>
        <w:t xml:space="preserve">Dice loss against the real lung mask, penalizing attention outside the lung</w:t>
      </w:r>
      <w:r>
        <w:t xml:space="preserve"> </w:t>
      </w:r>
      <w:r>
        <w:t xml:space="preserve">silhouette rather than just handing the mask over as an extra channel. All</w:t>
      </w:r>
      <w:r>
        <w:t xml:space="preserve"> </w:t>
      </w:r>
      <w:r>
        <w:t xml:space="preserve">three backbones improved slightly on LOMO validation (DenseNet-121:</w:t>
      </w:r>
      <w:r>
        <w:t xml:space="preserve"> </w:t>
      </w:r>
      <w:r>
        <w:t xml:space="preserve">0.9840</w:t>
      </w:r>
      <m:oMath>
        <m:r>
          <m:rPr>
            <m:sty m:val="p"/>
          </m:rPr>
          <m:t>→</m:t>
        </m:r>
      </m:oMath>
      <w:r>
        <w:t xml:space="preserve">0.9871; Swin-Tiny: 0.9877</w:t>
      </w:r>
      <m:oMath>
        <m:r>
          <m:rPr>
            <m:sty m:val="p"/>
          </m:rPr>
          <m:t>→</m:t>
        </m:r>
      </m:oMath>
      <w:r>
        <w:t xml:space="preserve">0.9889; ConvNeXt-Tiny:</w:t>
      </w:r>
      <w:r>
        <w:t xml:space="preserve"> </w:t>
      </w:r>
      <w:r>
        <w:t xml:space="preserve">0.9896</w:t>
      </w:r>
      <m:oMath>
        <m:r>
          <m:rPr>
            <m:sty m:val="p"/>
          </m:rPr>
          <m:t>→</m:t>
        </m:r>
      </m:oMath>
      <w:r>
        <w:t xml:space="preserve">0.9900). Fig. </w:t>
      </w:r>
      <w:hyperlink w:anchor="fig:maskcam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why on one held-out TB</w:t>
      </w:r>
      <w:r>
        <w:t xml:space="preserve"> </w:t>
      </w:r>
      <w:r>
        <w:t xml:space="preserve">case: the baseline attends only to the left apex and misses the disease</w:t>
      </w:r>
      <w:r>
        <w:t xml:space="preserve"> </w:t>
      </w:r>
      <w:r>
        <w:t xml:space="preserve">(P(TB)=0.357, wrong at threshold 0.5); the mask-guided model keeps that</w:t>
      </w:r>
      <w:r>
        <w:t xml:space="preserve"> </w:t>
      </w:r>
      <w:r>
        <w:t xml:space="preserve">focus and recruits a second, correct hotspot on the right, landing at</w:t>
      </w:r>
      <w:r>
        <w:t xml:space="preserve"> </w:t>
      </w:r>
      <w:r>
        <w:t xml:space="preserve">P(TB)=0.980. This gate is not yet implemented for RAD-DINO/CheXFound’s</w:t>
      </w:r>
      <w:r>
        <w:t xml:space="preserve"> </w:t>
      </w:r>
      <w:r>
        <w:t xml:space="preserve">patch-token layout and is not part of our final submitted ensemble – we</w:t>
      </w:r>
      <w:r>
        <w:t xml:space="preserve"> </w:t>
      </w:r>
      <w:r>
        <w:t xml:space="preserve">report it as a promising direction for future work.</w:t>
      </w:r>
    </w:p>
    <w:bookmarkStart w:id="27" w:name="fig:maskcam"/>
    <w:p>
      <w:pPr>
        <w:pStyle w:val="CaptionedFigure"/>
      </w:pPr>
      <w:r>
        <w:drawing>
          <wp:inline>
            <wp:extent cx="4533900" cy="276525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2_mask_guid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6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Grad-CAM for DenseNet-121 on the same held-out TB case, baseline</w:t>
      </w:r>
      <w:r>
        <w:t xml:space="preserve"> </w:t>
      </w:r>
      <w:r>
        <w:t xml:space="preserve">(left) vs. mask-guided (right). The mask-guided model keeps the baseline’s</w:t>
      </w:r>
      <w:r>
        <w:t xml:space="preserve"> </w:t>
      </w:r>
      <w:r>
        <w:t xml:space="preserve">left-apex focus and adds a second, correct hotspot on the right, flipping a</w:t>
      </w:r>
      <w:r>
        <w:t xml:space="preserve"> </w:t>
      </w:r>
      <w:r>
        <w:t xml:space="preserve">misclassification (P(TB)=0.357) to a correct call (P(TB)=0.980).</w:t>
      </w:r>
    </w:p>
    <w:bookmarkEnd w:id="27"/>
    <w:bookmarkEnd w:id="28"/>
    <w:bookmarkEnd w:id="29"/>
    <w:bookmarkStart w:id="3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 two-model ensemble of frozen, LoRA-adapted CXR foundation models –</w:t>
      </w:r>
      <w:r>
        <w:t xml:space="preserve"> </w:t>
      </w:r>
      <w:r>
        <w:t xml:space="preserve">RAD-DINO and CheXFound – beats a larger five-backbone ensemble on internal,</w:t>
      </w:r>
      <w:r>
        <w:t xml:space="preserve"> </w:t>
      </w:r>
      <w:r>
        <w:t xml:space="preserve">same-source-pool validation for TB/Normal classification (F1@0.5=0.9929),</w:t>
      </w:r>
      <w:r>
        <w:t xml:space="preserve"> </w:t>
      </w:r>
      <w:r>
        <w:t xml:space="preserve">under the stricter leave-one-modality-out protocol rather than a plain</w:t>
      </w:r>
      <w:r>
        <w:t xml:space="preserve"> </w:t>
      </w:r>
      <w:r>
        <w:t xml:space="preserve">stratified split. True external validation on public Shenzhen and</w:t>
      </w:r>
      <w:r>
        <w:t xml:space="preserve"> </w:t>
      </w:r>
      <w:r>
        <w:t xml:space="preserve">Montgomery cohorts shows that strong internal score does not yet translate</w:t>
      </w:r>
      <w:r>
        <w:t xml:space="preserve"> </w:t>
      </w:r>
      <w:r>
        <w:t xml:space="preserve">into a matching gain in cross-institution generalization over a simpler</w:t>
      </w:r>
      <w:r>
        <w:t xml:space="preserve"> </w:t>
      </w:r>
      <w:r>
        <w:t xml:space="preserve">prior baseline. Internal validation numbers for CXR classifiers deserve</w:t>
      </w:r>
      <w:r>
        <w:t xml:space="preserve"> </w:t>
      </w:r>
      <w:r>
        <w:t xml:space="preserve">caution, and closing the internal/external gap – through stronger domain</w:t>
      </w:r>
      <w:r>
        <w:t xml:space="preserve"> </w:t>
      </w:r>
      <w:r>
        <w:t xml:space="preserve">generalization, mask-guided attention extended to the foundation-model</w:t>
      </w:r>
      <w:r>
        <w:t xml:space="preserve"> </w:t>
      </w:r>
      <w:r>
        <w:t xml:space="preserve">branches, or larger and more diverse external-style training data –</w:t>
      </w:r>
      <w:r>
        <w:t xml:space="preserve"> </w:t>
      </w:r>
      <w:r>
        <w:t xml:space="preserve">remains the central open problem for deployable TB screening.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[1] Anonymized for review: Domain Generalization of Tuberculosis Detection in</w:t>
      </w:r>
      <w:r>
        <w:t xml:space="preserve"> </w:t>
      </w:r>
      <w:r>
        <w:t xml:space="preserve">Chest X-Rays through MixStyle and Multi-Level Augmentation. SSRN 5644210.</w:t>
      </w:r>
    </w:p>
    <w:p>
      <w:pPr>
        <w:pStyle w:val="BodyText"/>
      </w:pPr>
      <w:r>
        <w:t xml:space="preserve">[2] World Health Organization: Global Tuberculosis Report 2023. WHO, Geneva</w:t>
      </w:r>
      <w:r>
        <w:t xml:space="preserve"> </w:t>
      </w:r>
      <w:r>
        <w:t xml:space="preserve">(2023).</w:t>
      </w:r>
    </w:p>
    <w:p>
      <w:pPr>
        <w:pStyle w:val="BodyText"/>
      </w:pPr>
      <w:r>
        <w:t xml:space="preserve">[3] Pérez-García, F., et al.: RAD-DINO: Exploring Scalable Medical Image</w:t>
      </w:r>
      <w:r>
        <w:t xml:space="preserve"> </w:t>
      </w:r>
      <w:r>
        <w:t xml:space="preserve">Encoders Beyond Text Supervision. arXiv:2401.10815 (2024).</w:t>
      </w:r>
    </w:p>
    <w:p>
      <w:pPr>
        <w:pStyle w:val="BodyText"/>
      </w:pPr>
      <w:r>
        <w:t xml:space="preserve">[4] CheXFound: A Chest X-Ray Foundation Model with Global and Local</w:t>
      </w:r>
      <w:r>
        <w:t xml:space="preserve"> </w:t>
      </w:r>
      <w:r>
        <w:t xml:space="preserve">Representation Integration. (2024/2025).</w:t>
      </w:r>
    </w:p>
    <w:p>
      <w:pPr>
        <w:pStyle w:val="BodyText"/>
      </w:pPr>
      <w:r>
        <w:t xml:space="preserve">[5] Oquab, M., et al.: DINOv2: Learning Robust Visual Features without</w:t>
      </w:r>
      <w:r>
        <w:t xml:space="preserve"> </w:t>
      </w:r>
      <w:r>
        <w:t xml:space="preserve">Supervision. arXiv:2304.07193 (2023).</w:t>
      </w:r>
    </w:p>
    <w:p>
      <w:pPr>
        <w:pStyle w:val="BodyText"/>
      </w:pPr>
      <w:r>
        <w:t xml:space="preserve">[6] Hu, E.J., et al.: LoRA: Low-Rank Adaptation of Large Language Models. ICLR</w:t>
      </w:r>
      <w:r>
        <w:t xml:space="preserve"> </w:t>
      </w:r>
      <w:r>
        <w:t xml:space="preserve">(2022).</w:t>
      </w:r>
    </w:p>
    <w:p>
      <w:pPr>
        <w:pStyle w:val="BodyText"/>
      </w:pPr>
      <w:r>
        <w:t xml:space="preserve">[7] Zhou, K., Yang, Y., Qiao, Y., Xiang, T.: Domain Generalization with</w:t>
      </w:r>
      <w:r>
        <w:t xml:space="preserve"> </w:t>
      </w:r>
      <w:r>
        <w:t xml:space="preserve">MixStyle. ICLR (2021).</w:t>
      </w:r>
    </w:p>
    <w:p>
      <w:pPr>
        <w:pStyle w:val="BodyText"/>
      </w:pPr>
      <w:r>
        <w:t xml:space="preserve">[8] Xu, Z., et al.: Robust and Generalizable Visual Representation Learning via</w:t>
      </w:r>
      <w:r>
        <w:t xml:space="preserve"> </w:t>
      </w:r>
      <w:r>
        <w:t xml:space="preserve">Random Convolutions. ICLR (2021).</w:t>
      </w:r>
    </w:p>
    <w:p>
      <w:pPr>
        <w:pStyle w:val="BodyText"/>
      </w:pPr>
      <w:r>
        <w:t xml:space="preserve">[9] Wang, Z., Xia, Y.: Domain-Aware Mixup for Robust Chest X-Ray Diagnosis</w:t>
      </w:r>
      <w:r>
        <w:t xml:space="preserve"> </w:t>
      </w:r>
      <w:r>
        <w:t xml:space="preserve">Across Unseen Domains. (2022).</w:t>
      </w:r>
    </w:p>
    <w:p>
      <w:pPr>
        <w:pStyle w:val="BodyText"/>
      </w:pPr>
      <w:r>
        <w:t xml:space="preserve">[10] Huang, G., Liu, Z., van der Maaten, L., Weinberger, K.Q.: Densely Connected</w:t>
      </w:r>
      <w:r>
        <w:t xml:space="preserve"> </w:t>
      </w:r>
      <w:r>
        <w:t xml:space="preserve">Convolutional Networks. CVPR (2017).</w:t>
      </w:r>
    </w:p>
    <w:p>
      <w:pPr>
        <w:pStyle w:val="BodyText"/>
      </w:pPr>
      <w:r>
        <w:t xml:space="preserve">[11] Liu, Z., et al.: Swin Transformer: Hierarchical Vision Transformer using</w:t>
      </w:r>
      <w:r>
        <w:t xml:space="preserve"> </w:t>
      </w:r>
      <w:r>
        <w:t xml:space="preserve">Shifted Windows. ICCV (2021).</w:t>
      </w:r>
    </w:p>
    <w:p>
      <w:pPr>
        <w:pStyle w:val="BodyText"/>
      </w:pPr>
      <w:r>
        <w:t xml:space="preserve">[12] Liu, Z., et al.: A ConvNet for the 2020s. CVPR (2022).</w:t>
      </w:r>
    </w:p>
    <w:p>
      <w:pPr>
        <w:pStyle w:val="BodyText"/>
      </w:pPr>
      <w:r>
        <w:t xml:space="preserve">[13] Cohen, J.P., et al.: TorchXRayVision: A library of chest X-ray datasets and</w:t>
      </w:r>
      <w:r>
        <w:t xml:space="preserve"> </w:t>
      </w:r>
      <w:r>
        <w:t xml:space="preserve">models. MIDL (2022).</w:t>
      </w:r>
    </w:p>
    <w:p>
      <w:pPr>
        <w:pStyle w:val="BodyText"/>
      </w:pPr>
      <w:r>
        <w:t xml:space="preserve">[14] Jaeger, S., et al.: Two public chest X-ray datasets for computer-aided</w:t>
      </w:r>
      <w:r>
        <w:t xml:space="preserve"> </w:t>
      </w:r>
      <w:r>
        <w:t xml:space="preserve">screening of pulmonary diseases. Quant. Imaging Med. Surg. 4(6), 475–477</w:t>
      </w:r>
      <w:r>
        <w:t xml:space="preserve"> </w:t>
      </w:r>
      <w:r>
        <w:t xml:space="preserve">(2014).</w:t>
      </w:r>
    </w:p>
    <w:bookmarkEnd w:id="30"/>
    <w:sectPr>
      <w:footnotePr>
        <w:numRestart w:val="eachSect"/>
      </w:footnotePr>
      <w:pgMar w:bottom="1417" w:left="1701" w:right="1701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  <w:jc w:val="both"/>
    </w:pPr>
    <w:rPr>
      <w:rFonts w:ascii="Times New Roman" w:hAnsi="Times New Roman"/>
      <w:b w:val="0"/>
      <w:i w:val="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imes New Roman" w:cstheme="majorBidi" w:eastAsiaTheme="majorEastAsia" w:hAnsi="Times New Roman"/>
      <w:b w:val="0"/>
      <w:i w:val="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/>
      <w:b w:val="0"/>
      <w:i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i w:val="0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i w:val="0"/>
      <w:color w:themeColor="accent1" w:themeShade="BF" w:val="0F4761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ascii="Times New Roman" w:cstheme="majorBidi" w:eastAsiaTheme="majorEastAsia" w:hAnsi="Times New Roman"/>
      <w:b/>
      <w:i/>
      <w:color w:themeColor="accent1" w:themeShade="BF" w:val="0F4761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jc w:val="both"/>
    </w:pPr>
    <w:rPr>
      <w:rFonts w:ascii="Times New Roman" w:hAnsi="Times New Roman"/>
      <w:b w:val="0"/>
      <w:i w:val="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hAnsi="Times New Roman"/>
      <w:b w:val="0"/>
      <w:i w:val="0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Domain-Aware Tuberculosis Screening via Foundation Model Ensembling and LoRA</dc:title>
  <dc:creator>Eunchan Hwang</dc:creator>
  <cp:keywords/>
  <dcterms:created xsi:type="dcterms:W3CDTF">2026-07-24T07:31:26Z</dcterms:created>
  <dcterms:modified xsi:type="dcterms:W3CDTF">2026-07-24T07:31:26Z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Tuberculosis (TB) still kills more people each year than any other single infectious disease, and automated chest X-ray (CXR) screening is one of the few ways to scale diagnosis where radiologists are scarce [2]. We build a TB/Normal classifier around two frozen, self-supervised CXR foundation models – RAD-DINO [3] and CheXFound [4] – adapted with low-rank adaptation (LoRA) [6] instead of full fine-tuning, and validated with leave-one-imaging-modality-out (LOMO) cross-validation, the correct proxy for cross-domain generalization once a real acquisition-domain signal (Modality_DICOM) sits inside the training pool. Of five backbones we trained, the two-model ensemble scores best on internal validation (F1=0.9929), beating the full five-model ensemble (F1=0.9890). We also run true external validation on the public Shenzhen and Montgomery TB cohorts, where F1 falls to 0.7707 and 0.8348 – a real generalization gap we report openly, since hiding it behind a flattering internal number would defeat the point of measuring it at all.</vt:lpwstr>
  </property>
</Properties>
</file>