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0"/>
        <w:gridCol w:w="3000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D7C" w:color="auto" w:val="clear"/>
            <w:tcMar>
              <w:top w:type="dxa" w:w="160"/>
              <w:left w:type="dxa" w:w="200"/>
              <w:bottom w:type="dxa" w:w="160"/>
              <w:right w:type="dxa" w:w="120"/>
            </w:tcMar>
            <w:vAlign w:val="center"/>
          </w:tcPr>
          <w:p>
            <w:r>
              <w:drawing>
                <wp:inline distT="0" distB="0" distL="0" distR="0">
                  <wp:extent cx="381000" cy="323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  LIVENDIA</w:t>
            </w:r>
          </w:p>
          <w:p>
            <w:r>
              <w:rPr>
                <w:rFonts w:ascii="Calibri" w:cs="Calibri" w:eastAsia="Calibri" w:hAnsi="Calibri"/>
                <w:color w:val="D9E2F3"/>
                <w:sz w:val="18"/>
                <w:szCs w:val="18"/>
              </w:rPr>
              <w:t xml:space="preserve">Gestoría de Trámites Inmobiliarios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295A" w:color="auto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ENCARGO DE SERVICIOS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D9E2F3"/>
                <w:sz w:val="18"/>
                <w:szCs w:val="18"/>
              </w:rPr>
              <w:t xml:space="preserve">Intermediación de Financiación</w:t>
            </w:r>
          </w:p>
        </w:tc>
      </w:tr>
    </w:tbl>
    <w:p>
      <w:pPr>
        <w:spacing w:after="160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3000"/>
      </w:tblGrid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2295A"/>
                <w:sz w:val="18"/>
                <w:szCs w:val="18"/>
              </w:rPr>
              <w:t xml:space="preserve">Nº Expediente: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2295A"/>
                <w:sz w:val="18"/>
                <w:szCs w:val="18"/>
              </w:rPr>
              <w:t xml:space="preserve">Fecha: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1A3D7C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2295A"/>
          <w:sz w:val="24"/>
          <w:szCs w:val="24"/>
        </w:rPr>
        <w:t xml:space="preserve">1. PARTES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A3D7C"/>
          <w:sz w:val="20"/>
          <w:szCs w:val="20"/>
        </w:rPr>
        <w:t xml:space="preserve">PRESTADOR DEL SERVICIO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2295A"/>
                <w:sz w:val="18"/>
                <w:szCs w:val="18"/>
              </w:rPr>
              <w:t xml:space="preserve">Empresa</w:t>
            </w:r>
          </w:p>
        </w:tc>
        <w:tc>
          <w:tcPr>
            <w:tcW w:type="dxa" w:w="7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Livendia — Gestoría de Trámites Inmobiliarios</w:t>
            </w:r>
          </w:p>
        </w:tc>
      </w:tr>
      <w:t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2295A"/>
                <w:sz w:val="18"/>
                <w:szCs w:val="18"/>
              </w:rPr>
              <w:t xml:space="preserve">Web</w:t>
            </w:r>
          </w:p>
        </w:tc>
        <w:tc>
          <w:tcPr>
            <w:tcW w:type="dxa" w:w="7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www.livendia.com</w:t>
            </w:r>
          </w:p>
        </w:tc>
      </w:tr>
      <w:t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2295A"/>
                <w:sz w:val="18"/>
                <w:szCs w:val="18"/>
              </w:rPr>
              <w:t xml:space="preserve">CIF / NIF</w:t>
            </w:r>
          </w:p>
        </w:tc>
        <w:tc>
          <w:tcPr>
            <w:tcW w:type="dxa" w:w="7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____________________________</w:t>
            </w:r>
          </w:p>
        </w:tc>
      </w:tr>
      <w:t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2295A"/>
                <w:sz w:val="18"/>
                <w:szCs w:val="18"/>
              </w:rPr>
              <w:t xml:space="preserve">Dirección</w:t>
            </w:r>
          </w:p>
        </w:tc>
        <w:tc>
          <w:tcPr>
            <w:tcW w:type="dxa" w:w="7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____________________________</w:t>
            </w:r>
          </w:p>
        </w:tc>
      </w:tr>
      <w:t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2295A"/>
                <w:sz w:val="18"/>
                <w:szCs w:val="18"/>
              </w:rPr>
              <w:t xml:space="preserve">Nº de cuenta (IBAN)</w:t>
            </w:r>
          </w:p>
        </w:tc>
        <w:tc>
          <w:tcPr>
            <w:tcW w:type="dxa" w:w="7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ES27 2080 0835 0830 4005 6074</w:t>
            </w:r>
          </w:p>
        </w:tc>
      </w:tr>
    </w:tbl>
    <w:p>
      <w:pPr>
        <w:spacing w:after="160"/>
      </w:pP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A3D7C"/>
          <w:sz w:val="20"/>
          <w:szCs w:val="20"/>
        </w:rPr>
        <w:t xml:space="preserve">CLIENTE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2295A"/>
                <w:sz w:val="18"/>
                <w:szCs w:val="18"/>
              </w:rPr>
              <w:t xml:space="preserve">Nombre completo</w:t>
            </w:r>
          </w:p>
        </w:tc>
        <w:tc>
          <w:tcPr>
            <w:tcW w:type="dxa" w:w="7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____________________________</w:t>
            </w:r>
          </w:p>
        </w:tc>
      </w:tr>
      <w:t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2295A"/>
                <w:sz w:val="18"/>
                <w:szCs w:val="18"/>
              </w:rPr>
              <w:t xml:space="preserve">DNI / NIE</w:t>
            </w:r>
          </w:p>
        </w:tc>
        <w:tc>
          <w:tcPr>
            <w:tcW w:type="dxa" w:w="7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____________________________</w:t>
            </w:r>
          </w:p>
        </w:tc>
      </w:tr>
      <w:t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2295A"/>
                <w:sz w:val="18"/>
                <w:szCs w:val="18"/>
              </w:rPr>
              <w:t xml:space="preserve">Dirección</w:t>
            </w:r>
          </w:p>
        </w:tc>
        <w:tc>
          <w:tcPr>
            <w:tcW w:type="dxa" w:w="7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____________________________</w:t>
            </w:r>
          </w:p>
        </w:tc>
      </w:tr>
      <w:t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2295A"/>
                <w:sz w:val="18"/>
                <w:szCs w:val="18"/>
              </w:rPr>
              <w:t xml:space="preserve">Teléfono</w:t>
            </w:r>
          </w:p>
        </w:tc>
        <w:tc>
          <w:tcPr>
            <w:tcW w:type="dxa" w:w="7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____________________________</w:t>
            </w:r>
          </w:p>
        </w:tc>
      </w:tr>
      <w:t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2295A"/>
                <w:sz w:val="18"/>
                <w:szCs w:val="18"/>
              </w:rPr>
              <w:t xml:space="preserve">Email</w:t>
            </w:r>
          </w:p>
        </w:tc>
        <w:tc>
          <w:tcPr>
            <w:tcW w:type="dxa" w:w="7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pBdr>
          <w:bottom w:val="single" w:color="1A3D7C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2295A"/>
          <w:sz w:val="24"/>
          <w:szCs w:val="24"/>
        </w:rPr>
        <w:t xml:space="preserve">2. ALCANCE DEL SERVICIO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Livendia se encarga de las siguientes gestiones en nombre del cliente para la obtención de la financiación hipotecaria necesaria para la compra del inmueble objeto de la operación: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0"/>
          <w:szCs w:val="20"/>
        </w:rPr>
        <w:t xml:space="preserve">Análisis del perfil financiero y de la capacidad de endeudamiento del cliente.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0"/>
          <w:szCs w:val="20"/>
        </w:rPr>
        <w:t xml:space="preserve">Búsqueda y comparativa de ofertas hipotecarias entre distintas entidades financieras.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0"/>
          <w:szCs w:val="20"/>
        </w:rPr>
        <w:t xml:space="preserve">Preparación y envío de la documentación del cliente a las entidades seleccionadas.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0"/>
          <w:szCs w:val="20"/>
        </w:rPr>
        <w:t xml:space="preserve">Negociación de las condiciones de la operación (tipo de interés, comisiones, vinculaciones y seguros asociados).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0"/>
          <w:szCs w:val="20"/>
        </w:rPr>
        <w:t xml:space="preserve">Seguimiento del expediente hasta la obtención de la oferta vinculante (FEIN / FiAE).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0"/>
          <w:szCs w:val="20"/>
        </w:rPr>
        <w:t xml:space="preserve">Coordinación con la notaría y con el cliente para la firma de la hipoteca junto con la escritura de compraventa.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Nota: las condiciones finales de la financiación (tipo de interés, comisiones, seguros y demás vinculaciones) son establecidas por la entidad financiera concedente y quedan fuera del control de Livendia.</w:t>
      </w:r>
    </w:p>
    <w:p>
      <w:pPr>
        <w:pBdr>
          <w:bottom w:val="single" w:color="1A3D7C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2295A"/>
          <w:sz w:val="24"/>
          <w:szCs w:val="24"/>
        </w:rPr>
        <w:t xml:space="preserve">3. AUTORIZACIÓN PARA EL ENVÍO DE DOCUMENTACIÓN A ENTIDADES FINANCIERAS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0"/>
      </w:tblGrid>
      <w:tr>
        <w:tc>
          <w:tcPr>
            <w:tcW w:type="dxa" w:w="10000"/>
            <w:tcBorders>
              <w:top w:val="single" w:color="1A3D7C" w:sz="4"/>
              <w:left w:val="single" w:color="1A3D7C" w:sz="4"/>
              <w:bottom w:val="single" w:color="1A3D7C" w:sz="4"/>
              <w:right w:val="single" w:color="1A3D7C" w:sz="4"/>
            </w:tcBorders>
            <w:shd w:fill="F2F5FA" w:color="auto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cliente autoriza expresamente a Livendia a remitir su documentación personal, laboral, patrimonial y financiera a las distintas entidades financieras que resulten pertinentes, con la única finalidad de solicitar, comparar y tramitar ofertas de financiación para la operación de compraventa del cliente.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Esta autorización incluye, en su caso, la consulta de ficheros de solvencia patrimonial (CIRBE y similares) que las entidades puedan requerir para evaluar la operación, e implica la comunicación de datos a terceros conforme al apartado 6 (Protección de Datos).</w:t>
            </w:r>
          </w:p>
        </w:tc>
      </w:tr>
    </w:tbl>
    <w:p>
      <w:pPr>
        <w:pBdr>
          <w:bottom w:val="single" w:color="1A3D7C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2295A"/>
          <w:sz w:val="24"/>
          <w:szCs w:val="24"/>
        </w:rPr>
        <w:t xml:space="preserve">4. HONORARIOS Y FORMA DE PAGO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3000"/>
      </w:tblGrid>
      <w:tr>
        <w:tc>
          <w:tcPr>
            <w:tcW w:type="dxa" w:w="7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2295A"/>
                <w:sz w:val="18"/>
                <w:szCs w:val="18"/>
              </w:rPr>
              <w:t xml:space="preserve">Gestión y tramitación de la financiación hipotecaria (éxito)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2295A"/>
                <w:sz w:val="20"/>
                <w:szCs w:val="20"/>
              </w:rPr>
              <w:t xml:space="preserve">4.000,00 €</w:t>
            </w:r>
          </w:p>
        </w:tc>
      </w:tr>
      <w:t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2295A"/>
                <w:sz w:val="18"/>
                <w:szCs w:val="18"/>
              </w:rPr>
              <w:t xml:space="preserve">Comisiones bancarias, tasación y gastos de terceros</w:t>
            </w:r>
          </w:p>
        </w:tc>
        <w:tc>
          <w:tcPr>
            <w:tcW w:type="dxa" w:w="7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 cargo del cliente</w:t>
            </w:r>
          </w:p>
        </w:tc>
      </w:tr>
    </w:tbl>
    <w:p>
      <w:pPr>
        <w:spacing w:after="0" w:before="160"/>
      </w:pP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Los honorarios de Livendia (4.000 €) se devengan por éxito y son exigibles el día de la firma de la escritura pública de compraventa, condicionados a que el cliente formalice la adquisición del inmueble con la financiación gestionada por Livendia. El pago se realizará mediante transferencia bancaria a la cuenta: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2295A"/>
          <w:sz w:val="22"/>
          <w:szCs w:val="22"/>
        </w:rPr>
        <w:t xml:space="preserve">ES27 2080 0835 0830 4005 6074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Nota: si la operación no llega a formalizarse por causas ajenas a Livendia (denegación de la financiación, desistimiento del cliente u otras circunstancias de la operación), no se devengarán honorarios por este servicio, sin perjuicio de los gastos ya asumidos por terceros.</w:t>
      </w:r>
    </w:p>
    <w:p>
      <w:pPr>
        <w:pBdr>
          <w:bottom w:val="single" w:color="1A3D7C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2295A"/>
          <w:sz w:val="24"/>
          <w:szCs w:val="24"/>
        </w:rPr>
        <w:t xml:space="preserve">5. OBLIGACIONES DEL CLIENTE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0"/>
          <w:szCs w:val="20"/>
        </w:rPr>
        <w:t xml:space="preserve">Facilitar toda la documentación personal, laboral y financiera requerida en tiempo y forma.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0"/>
          <w:szCs w:val="20"/>
        </w:rPr>
        <w:t xml:space="preserve">Autorizar las consultas de solvencia patrimonial que las entidades financieras requieran para evaluar la operación.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0"/>
          <w:szCs w:val="20"/>
        </w:rPr>
        <w:t xml:space="preserve">Abonar los honorarios de Livendia el día de la firma de la escritura pública, según lo indicado en el apartado 5.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0"/>
          <w:szCs w:val="20"/>
        </w:rPr>
        <w:t xml:space="preserve">Asumir las comisiones bancarias, gastos de tasación y demás gastos de terceros derivados de la operación de financiación.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0"/>
          <w:szCs w:val="20"/>
        </w:rPr>
        <w:t xml:space="preserve">Comunicar a Livendia cualquier cambio relevante que afecte a su situación financiera o a la operación.</w:t>
      </w:r>
    </w:p>
    <w:p>
      <w:pPr>
        <w:pBdr>
          <w:bottom w:val="single" w:color="1A3D7C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2295A"/>
          <w:sz w:val="24"/>
          <w:szCs w:val="24"/>
        </w:rPr>
        <w:t xml:space="preserve">6. PROTECCIÓN DE DATOS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Los datos personales facilitados serán tratados por Livendia con la finalidad de gestionar el presente encargo, incluida la búsqueda y tramitación de financiación, de conformidad con el Reglamento (UE) 2016/679 (RGPD) y la Ley Orgánica 3/2018 (LOPDGDD). Los datos podrán cederse a las entidades financieras indicadas en el apartado 3, así como a notaría, Registro de la Propiedad y demás organismos cuando resulte necesario para la ejecución del servicio. El cliente podrá ejercer sus derechos de acceso, rectificación, supresión, oposición, limitación y portabilidad dirigiéndose a Livendia.</w:t>
      </w:r>
    </w:p>
    <w:p>
      <w:pPr>
        <w:pBdr>
          <w:bottom w:val="single" w:color="1A3D7C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2295A"/>
          <w:sz w:val="24"/>
          <w:szCs w:val="24"/>
        </w:rPr>
        <w:t xml:space="preserve">7. VIGENCIA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El presente encargo tiene una vigencia de 6 meses desde la fecha de firma, prorrogables por acuerdo entre las partes, y podrá darse por finalizado por cualquiera de las partes mediante comunicación escrita.</w:t>
      </w:r>
    </w:p>
    <w:p>
      <w:pPr>
        <w:pBdr>
          <w:bottom w:val="single" w:color="1A3D7C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2295A"/>
          <w:sz w:val="24"/>
          <w:szCs w:val="24"/>
        </w:rPr>
        <w:t xml:space="preserve">8. ACEPTACIÓN Y FIRMAS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Las partes manifiestan su conformidad con el presente encargo de servicios en la fecha indicada.</w:t>
      </w:r>
    </w:p>
    <w:p>
      <w:pPr>
        <w:spacing w:after="300" w:before="300"/>
      </w:pPr>
    </w:p>
    <w:tbl>
      <w:tblPr>
        <w:tblW w:type="dxa" w:w="10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500"/>
        <w:gridCol w:w="1000"/>
        <w:gridCol w:w="4500"/>
      </w:tblGrid>
      <w:tr>
        <w:tc>
          <w:tcPr>
            <w:tcW w:type="dxa" w:w="4500"/>
            <w:tcBorders>
              <w:top w:val="single" w:color="999999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Firma del cliente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999999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Firma Livendia</w:t>
            </w:r>
          </w:p>
        </w:tc>
      </w:tr>
    </w:tbl>
    <w:p>
      <w:pPr>
        <w:spacing w:after="60" w:before="260"/>
      </w:pPr>
      <w:r>
        <w:rPr>
          <w:rFonts w:ascii="Calibri" w:cs="Calibri" w:eastAsia="Calibri" w:hAnsi="Calibri"/>
          <w:sz w:val="18"/>
          <w:szCs w:val="18"/>
        </w:rPr>
        <w:t xml:space="preserve">Nombre y DNI del cliente: ____________________________</w:t>
      </w:r>
    </w:p>
    <w:p>
      <w:pPr>
        <w:spacing w:after="300"/>
      </w:pPr>
      <w:r>
        <w:rPr>
          <w:rFonts w:ascii="Calibri" w:cs="Calibri" w:eastAsia="Calibri" w:hAnsi="Calibri"/>
          <w:sz w:val="18"/>
          <w:szCs w:val="18"/>
        </w:rPr>
        <w:t xml:space="preserve">En __________________________ , a ____ de __________________ de 20____</w:t>
      </w:r>
    </w:p>
    <w:p>
      <w:pPr>
        <w:pBdr>
          <w:top w:val="single" w:color="D9D9D9" w:sz="4" w:space="8"/>
        </w:pBdr>
        <w:spacing w:before="200"/>
        <w:jc w:val="center"/>
      </w:pPr>
      <w:r>
        <w:rPr>
          <w:rFonts w:ascii="Calibri" w:cs="Calibri" w:eastAsia="Calibri" w:hAnsi="Calibri"/>
          <w:i/>
          <w:iCs/>
          <w:color w:val="777777"/>
          <w:sz w:val="16"/>
          <w:szCs w:val="16"/>
        </w:rPr>
        <w:t xml:space="preserve">Livendia — Gestoría de Trámites Inmobiliarios  ·  www.livendia.com</w:t>
      </w:r>
    </w:p>
    <w:sectPr>
      <w:pgSz w:w="11906" w:h="16838" w:orient="portrait"/>
      <w:pgMar w:top="70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5b1676816d7b338f29a2d3feff793b95bdc912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2026-07-08T07:42:22.267Z</dcterms:created>
  <dcterms:modified xsi:type="dcterms:W3CDTF">2026-07-08T07:42:22.267Z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