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National Cybersecurity Standards &amp; Frameworks — Egypt</w:t>
      </w:r>
    </w:p>
    <w:p>
      <w:r>
        <w:t>Objective: Brief summary of Egypt's national standards/frameworks related to cyber warfare and national cyber defence.</w:t>
      </w:r>
    </w:p>
    <w:p>
      <w:pPr>
        <w:pStyle w:val="Heading2"/>
      </w:pPr>
      <w:r>
        <w:t>Main cybersecurity / cyber warfare standards &amp; frameworks</w:t>
      </w:r>
    </w:p>
    <w:p>
      <w:r>
        <w:rPr>
          <w:b/>
        </w:rPr>
        <w:t>• National Cybersecurity Strategy (2017–2021; updated planning 2023–2027) — adopted by the Egyptian Supreme Cybersecurity Council (ESCC).</w:t>
      </w:r>
    </w:p>
    <w:p>
      <w:r>
        <w:t xml:space="preserve">  - Sets national priorities for protecting critical infrastructure, incident response, awareness, capacity building, legal/regulatory measures and international cooperation.</w:t>
      </w:r>
    </w:p>
    <w:p>
      <w:r>
        <w:t>• Anti‑Cyber and Information Technology Crimes Law (Law No. 175 of 2018) — criminalises cyber offences and sets obligations for service providers and investigators.</w:t>
      </w:r>
    </w:p>
    <w:p>
      <w:r>
        <w:t>• Personal Data Protection Law (PDPL) (Law No. 151 of 2020) — data protection regime that complements cybersecurity controls.</w:t>
      </w:r>
    </w:p>
    <w:p>
      <w:r>
        <w:t>• Regulatory frameworks and technical rules published by the National Telecom Regulatory Authority (NTRA) and sectoral regulators; EG‑CERT (Egyptian CERT) as national CSIRT.</w:t>
      </w:r>
    </w:p>
    <w:p>
      <w:pPr>
        <w:pStyle w:val="Heading2"/>
      </w:pPr>
      <w:r>
        <w:t>Agencies responsible for implementation</w:t>
      </w:r>
    </w:p>
    <w:p>
      <w:r>
        <w:t>• Egyptian Supreme Cybersecurity Council (ESCC) — policy coordination and national strategy owner (reports to Cabinet).</w:t>
      </w:r>
    </w:p>
    <w:p>
      <w:r>
        <w:t>• National Telecom Regulatory Authority (NTRA) — sectoral regulation; hosts EG‑CERT and issues cybersecurity rules and executive regulations.</w:t>
      </w:r>
    </w:p>
    <w:p>
      <w:r>
        <w:t>• EG‑CERT (Egyptian Computer Emergency Readiness Team) — incident response, monitoring, and coordination with critical infrastructure operators.</w:t>
      </w:r>
    </w:p>
    <w:p>
      <w:r>
        <w:t>• Ministry of Communications and Information Technology (MCIT) and other ministries (Interior, Defense, Finance) — implementation across government and critical sectors.</w:t>
      </w:r>
    </w:p>
    <w:p>
      <w:pPr>
        <w:pStyle w:val="Heading2"/>
      </w:pPr>
      <w:r>
        <w:t>Alignment with international standards</w:t>
      </w:r>
    </w:p>
    <w:p>
      <w:r>
        <w:t>Egypt's strategy and regulatory instruments reference international best practices and engage internationally:</w:t>
      </w:r>
    </w:p>
    <w:p>
      <w:r>
        <w:t>• ISO/IEC standards: Organisations and NTRA/EG‑CERT guidance often map to ISO/IEC 27001 (information security management) and ISO/IEC 27035 (incident response) practices.</w:t>
      </w:r>
    </w:p>
    <w:p>
      <w:r>
        <w:t>• ITU: Egypt contributed to and referenced ITU cybersecurity guidance; the ITU hosts the published national strategy PDF in its repository.</w:t>
      </w:r>
    </w:p>
    <w:p>
      <w:r>
        <w:t>• Regional and global engagement: Egypt participates in FIRST, bilateral cyber dialogues and uses internationally‑recognised legal models for cybercrime (e.g., Budapest Convention influences).</w:t>
      </w:r>
    </w:p>
    <w:p>
      <w:r>
        <w:t>Note: Egypt’s domestic laws (Law 175/2018, PDPL 151/2020) aim to provide a legal base compatible with international frameworks, though implementation detail and enforcement vary.</w:t>
      </w:r>
    </w:p>
    <w:p>
      <w:pPr>
        <w:pStyle w:val="Heading2"/>
      </w:pPr>
      <w:r>
        <w:t>Selected official sources / references</w:t>
      </w:r>
    </w:p>
    <w:p>
      <w:r>
        <w:t>1) National Cybersecurity Strategy (ESCC) — English PDF (official):</w:t>
        <w:br/>
        <w:t>https://www.itu.int/en/ITU-D/Cybersecurity/Documents/National_Strategies_Repository/EgyptNational%20Cybersecurity%20Strategy-English%20version-18%20Nov%202018.pdf</w:t>
      </w:r>
    </w:p>
    <w:p>
      <w:r>
        <w:t>2) EG-CERT (national CSIRT):</w:t>
        <w:br/>
        <w:t>https://egcert.eg/</w:t>
      </w:r>
    </w:p>
    <w:p>
      <w:r>
        <w:t>3) NTRA — Cyber Security / Laws and Regulations:</w:t>
        <w:br/>
        <w:t>https://www.tra.gov.eg/en/industry/eg-cert/ and https://www.tra.gov.eg/en/regulations/laws-and-legislations/</w:t>
      </w:r>
    </w:p>
    <w:p>
      <w:r>
        <w:t>4) The National Cybersecurity Strategy (2023–2027) summary (digital policy resources):</w:t>
        <w:br/>
        <w:t>https://dig.watch/resource/the-national-cybersecurity-strategy-of-egypt-2023-2027</w:t>
      </w:r>
    </w:p>
    <w:p>
      <w:pPr>
        <w:pStyle w:val="Heading2"/>
      </w:pPr>
      <w:r>
        <w:t>Reflection — How Malaysia can learn or adapt</w:t>
      </w:r>
    </w:p>
    <w:p>
      <w:r>
        <w:t>• Centralised governance &amp; clear strategy: Egypt uses a Supreme Cybersecurity Council (ESCC) model reporting to the Cabinet to coordinate policy across ministries. Malaysia could consider strengthening a high‑level, cross‑ministerial council with clear mandates to reduce overlap and speed strategic decisions.</w:t>
      </w:r>
    </w:p>
    <w:p>
      <w:r>
        <w:t>• CSIRT &amp; sector coordination: EG‑CERT operates within NTRA to combine regulatory oversight and operational response. Malaysia can continue to strengthen MyCERT’s authority and closer integration with sector regulators and critical infrastructure operators to shorten incident response times.</w:t>
      </w:r>
    </w:p>
    <w:p>
      <w:r>
        <w:t>• Legal clarity &amp; data protection: Egypt’s combination of cybercrime law and PDPL shows the need to align cybersecurity, privacy and criminal laws. Malaysia should ensure harmonisation between PDPA, cybersecurity regulations and incident reporting rules to avoid gaps or conflicting obligations.</w:t>
      </w:r>
    </w:p>
    <w:p>
      <w:r>
        <w:t>• Capacity-building &amp; public‑private partnerships: Egypt emphasises capacity building and supplier engagement. Malaysia can expand public‑private war‑games, shared exercise programs, and regular technical standards adoption (ISO/IEC mappings).</w:t>
      </w:r>
    </w:p>
    <w:p>
      <w:r>
        <w:br w:type="page"/>
      </w:r>
    </w:p>
    <w:p>
      <w:pPr>
        <w:pStyle w:val="Heading1"/>
      </w:pPr>
      <w:r>
        <w:t>Turnitin Result — (PLACEHOLDER)</w:t>
      </w:r>
    </w:p>
    <w:p>
      <w:pPr>
        <w:jc w:val="left"/>
      </w:pPr>
      <w:r>
        <w:t>IMPORTANT: I cannot run Turnitin from here. Please upload this document to Turnitin via your Learning Portal or institutional Turnitin account, generate the similarity report, take a screenshot of the final Turnitin result page, and paste/insert that screenshot on this page before final submission.</w:t>
      </w:r>
    </w:p>
    <w:p>
      <w:r>
        <w:br/>
        <w:t>(When you paste the screenshot, save the document as:</w:t>
        <w:br/>
        <w:t>CyberStandards_DanielHaikal_Egypt.docx and submit to the Learning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CyberStandards_DanielHaikal_Egypt</dc:title>
  <dc:subject/>
  <dc:creator>Daniel Haikal</dc:creator>
  <cp:keywords/>
  <dc:description>generated by python-docx</dc:description>
  <cp:lastModifiedBy/>
  <cp:revision>1</cp:revision>
  <dcterms:created xsi:type="dcterms:W3CDTF">2013-12-23T23:15:00Z</dcterms:created>
  <dcterms:modified xsi:type="dcterms:W3CDTF">2013-12-23T23:15:00Z</dcterms:modified>
  <cp:category/>
</cp:coreProperties>
</file>