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0000"/>
          <w:sz w:val="72"/>
        </w:rPr>
        <w:t>STARK PROCUREMENT</w:t>
      </w:r>
    </w:p>
    <w:p>
      <w:pPr>
        <w:jc w:val="center"/>
      </w:pPr>
      <w:r>
        <w:rPr>
          <w:color w:val="333333"/>
          <w:sz w:val="48"/>
        </w:rPr>
        <w:t>Scope Definition Document</w:t>
      </w:r>
    </w:p>
    <w:p/>
    <w:p/>
    <w:p>
      <w:pPr>
        <w:jc w:val="center"/>
      </w:pPr>
      <w:r>
        <w:rPr>
          <w:color w:val="666666"/>
          <w:sz w:val="32"/>
        </w:rPr>
        <w:t>Prepared for Kim Christensen</w:t>
      </w:r>
    </w:p>
    <w:p>
      <w:pPr>
        <w:jc w:val="center"/>
      </w:pPr>
      <w:r>
        <w:rPr>
          <w:color w:val="666666"/>
          <w:sz w:val="28"/>
        </w:rPr>
        <w:t>March 2026</w:t>
      </w:r>
    </w:p>
    <w:p/>
    <w:p/>
    <w:p/>
    <w:p/>
    <w:p/>
    <w:p/>
    <w:p/>
    <w:p/>
    <w:p>
      <w:pPr>
        <w:jc w:val="center"/>
      </w:pPr>
      <w:r>
        <w:rPr>
          <w:color w:val="666666"/>
          <w:sz w:val="24"/>
        </w:rPr>
        <w:t>Delivered by Agentic Agency</w:t>
      </w:r>
    </w:p>
    <w:p>
      <w:pPr>
        <w:jc w:val="center"/>
      </w:pPr>
      <w:r>
        <w:rPr>
          <w:i/>
          <w:color w:val="666666"/>
          <w:sz w:val="22"/>
        </w:rPr>
        <w:t>Engineering &gt; Prompting</w:t>
      </w:r>
    </w:p>
    <w:p>
      <w:r>
        <w:br w:type="page"/>
      </w:r>
    </w:p>
    <w:p>
      <w:pPr>
        <w:pStyle w:val="Heading1"/>
      </w:pPr>
      <w:r>
        <w:rPr>
          <w:color w:val="000000"/>
        </w:rPr>
        <w:t>Our Approach: Engineering Excellence at Speed</w:t>
      </w:r>
    </w:p>
    <w:p>
      <w:pPr>
        <w:spacing w:after="240"/>
      </w:pPr>
      <w:r>
        <w:t>At Agentic Agency, we believe in a fundamental truth: great software comes from great engineering, not from shortcuts. We've pioneered a delivery model that combines the speed of modern AI-assisted development with the rigor and quality of traditional software craftsmanship. The result is exceptional software delivered in compressed timelines—without compromise.</w:t>
      </w:r>
    </w:p>
    <w:p>
      <w:pPr>
        <w:pStyle w:val="Heading2"/>
      </w:pPr>
      <w:r>
        <w:rPr>
          <w:color w:val="000000"/>
        </w:rPr>
        <w:t>Our Values</w:t>
      </w:r>
    </w:p>
    <w:p>
      <w:pPr>
        <w:spacing w:after="160"/>
      </w:pPr>
      <w:r>
        <w:rPr>
          <w:b/>
        </w:rPr>
        <w:t xml:space="preserve">Quality Without Compromise: </w:t>
      </w:r>
      <w:r>
        <w:t>We write code that you would be proud to show your best engineers. Clean, maintainable, well-tested, and documented.</w:t>
      </w:r>
    </w:p>
    <w:p>
      <w:pPr>
        <w:spacing w:after="160"/>
      </w:pPr>
      <w:r>
        <w:rPr>
          <w:b/>
        </w:rPr>
        <w:t xml:space="preserve">Speed Through Intelligence: </w:t>
      </w:r>
      <w:r>
        <w:t>We leverage AI as a force multiplier for skilled engineers—not as a replacement for engineering judgment.</w:t>
      </w:r>
    </w:p>
    <w:p>
      <w:pPr>
        <w:spacing w:after="160"/>
      </w:pPr>
      <w:r>
        <w:rPr>
          <w:b/>
        </w:rPr>
        <w:t xml:space="preserve">Transparency in Execution: </w:t>
      </w:r>
      <w:r>
        <w:t>You see everything we build, as we build it. No black boxes. No surprises.</w:t>
      </w:r>
    </w:p>
    <w:p>
      <w:pPr>
        <w:spacing w:after="160"/>
      </w:pPr>
      <w:r>
        <w:rPr>
          <w:b/>
        </w:rPr>
        <w:t xml:space="preserve">Partnership Over Transaction: </w:t>
      </w:r>
      <w:r>
        <w:t>We succeed when you succeed. Our goal is a long-term relationship, not a one-off sale.</w:t>
      </w:r>
    </w:p>
    <w:p>
      <w:pPr>
        <w:spacing w:after="240"/>
      </w:pPr>
      <w:r>
        <w:rPr>
          <w:color w:val="666666"/>
          <w:sz w:val="16"/>
        </w:rPr>
        <w:t>────────────────────────────────────────────────────────────────────────────────</w:t>
      </w:r>
    </w:p>
    <w:p>
      <w:pPr>
        <w:pStyle w:val="Heading1"/>
      </w:pPr>
      <w:r>
        <w:rPr>
          <w:color w:val="000000"/>
        </w:rPr>
        <w:t>Understanding the Landscape: Software Delivery Approaches</w:t>
      </w:r>
    </w:p>
    <w:p>
      <w:pPr>
        <w:spacing w:after="320"/>
      </w:pPr>
      <w:r>
        <w:t>The software development industry offers various approaches to building systems. Understanding these approaches—their strengths and limitations—is essential for making informed decisions.</w:t>
      </w:r>
    </w:p>
    <w:p>
      <w:pPr>
        <w:pStyle w:val="Heading2"/>
      </w:pPr>
      <w:r>
        <w:rPr>
          <w:color w:val="000000"/>
        </w:rPr>
        <w:t>Low-Code Platforms</w:t>
      </w:r>
    </w:p>
    <w:p>
      <w:pPr>
        <w:spacing w:after="160"/>
      </w:pPr>
      <w:r>
        <w:rPr>
          <w:b/>
        </w:rPr>
        <w:t xml:space="preserve">Definition: </w:t>
      </w:r>
      <w:r>
        <w:t>Low-code platforms (e.g., OutSystems, Mendix, Power Platform) provide visual, drag-and-drop interfaces to build applications. They abstract away underlying code, allowing 'citizen developers' to create software without traditional programming.</w:t>
      </w:r>
    </w:p>
    <w:p>
      <w:pPr>
        <w:spacing w:after="160"/>
      </w:pPr>
      <w:r>
        <w:rPr>
          <w:b/>
        </w:rPr>
        <w:t xml:space="preserve">Strengths: </w:t>
      </w:r>
      <w:r>
        <w:t>Rapid prototyping, reduced need for specialized developers, accessible to non-technical users, good for standardized CRUD applications.</w:t>
      </w:r>
    </w:p>
    <w:p>
      <w:pPr>
        <w:spacing w:after="320"/>
      </w:pPr>
      <w:r>
        <w:rPr>
          <w:b/>
        </w:rPr>
        <w:t xml:space="preserve">Limitations: </w:t>
      </w:r>
      <w:r>
        <w:t>Vendor lock-in, limited customization, performance constraints at scale, hidden complexity that surfaces later, ongoing licensing costs, difficulty integrating with complex enterprise systems, and often produces code that is unmaintainable outside the platform.</w:t>
      </w:r>
    </w:p>
    <w:p>
      <w:pPr>
        <w:pStyle w:val="Heading2"/>
      </w:pPr>
      <w:r>
        <w:rPr>
          <w:color w:val="000000"/>
        </w:rPr>
        <w:t>Vibecoding (Prompt-Driven Development)</w:t>
      </w:r>
    </w:p>
    <w:p>
      <w:pPr>
        <w:spacing w:after="160"/>
      </w:pPr>
      <w:r>
        <w:rPr>
          <w:b/>
        </w:rPr>
        <w:t xml:space="preserve">Definition: </w:t>
      </w:r>
      <w:r>
        <w:t>Vibecoding refers to the practice of using conversational AI tools (like ChatGPT, Claude, or Cursor) to generate code through prompts, without deep understanding of the underlying technology. The developer 'vibes' with the AI, accepting generated code with minimal review.</w:t>
      </w:r>
    </w:p>
    <w:p>
      <w:pPr>
        <w:spacing w:after="160"/>
      </w:pPr>
      <w:r>
        <w:rPr>
          <w:b/>
        </w:rPr>
        <w:t xml:space="preserve">Strengths: </w:t>
      </w:r>
      <w:r>
        <w:t>Extremely fast initial output, low barrier to entry, can produce working prototypes quickly, democratizes access to code generation.</w:t>
      </w:r>
    </w:p>
    <w:p>
      <w:pPr>
        <w:spacing w:after="320"/>
      </w:pPr>
      <w:r>
        <w:rPr>
          <w:b/>
        </w:rPr>
        <w:t xml:space="preserve">Limitations: </w:t>
      </w:r>
      <w:r>
        <w:t>Inconsistent quality, security vulnerabilities, lack of architectural coherence, technical debt accumulation, difficulty maintaining generated code, hallucinated solutions that don't actually work, no understanding of the 'why' behind decisions, and brittleness under real-world conditions. Vibecoding produces artifacts, not systems.</w:t>
      </w:r>
    </w:p>
    <w:p>
      <w:pPr>
        <w:pStyle w:val="Heading2"/>
      </w:pPr>
      <w:r>
        <w:rPr>
          <w:color w:val="000000"/>
        </w:rPr>
        <w:t>Traditional Software Development</w:t>
      </w:r>
    </w:p>
    <w:p>
      <w:pPr>
        <w:spacing w:after="160"/>
      </w:pPr>
      <w:r>
        <w:rPr>
          <w:b/>
        </w:rPr>
        <w:t xml:space="preserve">Definition: </w:t>
      </w:r>
      <w:r>
        <w:t>Conventional software engineering with skilled developers, established methodologies (Agile, Scrum, Waterfall), code reviews, testing practices, and deliberate architectural decisions. Code is written by humans who understand it.</w:t>
      </w:r>
    </w:p>
    <w:p>
      <w:pPr>
        <w:spacing w:after="160"/>
      </w:pPr>
      <w:r>
        <w:rPr>
          <w:b/>
        </w:rPr>
        <w:t xml:space="preserve">Strengths: </w:t>
      </w:r>
      <w:r>
        <w:t>High quality when done well, full control, deep understanding of the codebase, maintainability, appropriate for complex systems, proven methodologies, transferable skills.</w:t>
      </w:r>
    </w:p>
    <w:p>
      <w:pPr>
        <w:spacing w:after="320"/>
      </w:pPr>
      <w:r>
        <w:rPr>
          <w:b/>
        </w:rPr>
        <w:t xml:space="preserve">Limitations: </w:t>
      </w:r>
      <w:r>
        <w:t>Time-intensive, expensive, dependent on finding skilled talent, can be slow to adapt, often burdened by process overhead, communication gaps between business and technical teams.</w:t>
      </w:r>
    </w:p>
    <w:p>
      <w:pPr>
        <w:spacing w:after="240"/>
      </w:pPr>
      <w:r>
        <w:rPr>
          <w:color w:val="666666"/>
          <w:sz w:val="16"/>
        </w:rPr>
        <w:t>────────────────────────────────────────────────────────────────────────────────</w:t>
      </w:r>
    </w:p>
    <w:p>
      <w:pPr>
        <w:pStyle w:val="Heading1"/>
      </w:pPr>
      <w:r>
        <w:rPr>
          <w:color w:val="000000"/>
        </w:rPr>
        <w:t>Agentic Engineering: A Different Model</w:t>
      </w:r>
    </w:p>
    <w:p>
      <w:pPr>
        <w:spacing w:after="240"/>
      </w:pPr>
      <w:r>
        <w:t>Agentic Engineering is neither low-code, nor vibecoding, nor traditional development. It represents a new paradigm where AI augments—rather than replaces—expert human judgment.</w:t>
      </w:r>
    </w:p>
    <w:p>
      <w:pPr>
        <w:spacing w:after="320"/>
      </w:pPr>
      <w:r>
        <w:rPr>
          <w:b/>
        </w:rPr>
        <w:t xml:space="preserve">The Core Principle: </w:t>
      </w:r>
      <w:r>
        <w:t>Skilled engineers remain in the loop at every decision point. AI handles the mechanical aspects of code generation, pattern matching, and documentation—freeing engineers to focus on architecture, edge cases, security, and the nuanced decisions that determine software quality.</w:t>
      </w:r>
    </w:p>
    <w:p>
      <w:pPr>
        <w:pStyle w:val="Heading2"/>
      </w:pPr>
      <w:r>
        <w:rPr>
          <w:color w:val="000000"/>
        </w:rPr>
        <w:t>How Agentic Engineering Differs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333333"/>
          </w:tcPr>
          <w:p>
            <w:r>
              <w:rPr>
                <w:b/>
                <w:color w:val="FFFFFF"/>
              </w:rPr>
              <w:t>Aspect</w:t>
            </w:r>
          </w:p>
        </w:tc>
        <w:tc>
          <w:tcPr>
            <w:tcW w:type="dxa" w:w="1728"/>
            <w:shd w:fill="333333"/>
          </w:tcPr>
          <w:p>
            <w:r>
              <w:rPr>
                <w:b/>
                <w:color w:val="FFFFFF"/>
              </w:rPr>
              <w:t>Low-Code</w:t>
            </w:r>
          </w:p>
        </w:tc>
        <w:tc>
          <w:tcPr>
            <w:tcW w:type="dxa" w:w="1728"/>
            <w:shd w:fill="333333"/>
          </w:tcPr>
          <w:p>
            <w:r>
              <w:rPr>
                <w:b/>
                <w:color w:val="FFFFFF"/>
              </w:rPr>
              <w:t>Vibecoding</w:t>
            </w:r>
          </w:p>
        </w:tc>
        <w:tc>
          <w:tcPr>
            <w:tcW w:type="dxa" w:w="1728"/>
            <w:shd w:fill="333333"/>
          </w:tcPr>
          <w:p>
            <w:r>
              <w:rPr>
                <w:b/>
                <w:color w:val="FFFFFF"/>
              </w:rPr>
              <w:t>Traditional</w:t>
            </w:r>
          </w:p>
        </w:tc>
        <w:tc>
          <w:tcPr>
            <w:tcW w:type="dxa" w:w="1728"/>
            <w:shd w:fill="333333"/>
          </w:tcPr>
          <w:p>
            <w:r>
              <w:rPr>
                <w:b/>
                <w:color w:val="FFFFFF"/>
              </w:rPr>
              <w:t>Agentic Engineering</w:t>
            </w:r>
          </w:p>
        </w:tc>
      </w:tr>
      <w:tr>
        <w:tc>
          <w:tcPr>
            <w:tcW w:type="dxa" w:w="1728"/>
          </w:tcPr>
          <w:p>
            <w:r>
              <w:t>Speed</w:t>
            </w:r>
          </w:p>
        </w:tc>
        <w:tc>
          <w:tcPr>
            <w:tcW w:type="dxa" w:w="1728"/>
          </w:tcPr>
          <w:p>
            <w:r>
              <w:t>Fast</w:t>
            </w:r>
          </w:p>
        </w:tc>
        <w:tc>
          <w:tcPr>
            <w:tcW w:type="dxa" w:w="1728"/>
          </w:tcPr>
          <w:p>
            <w:r>
              <w:t>Very Fast</w:t>
            </w:r>
          </w:p>
        </w:tc>
        <w:tc>
          <w:tcPr>
            <w:tcW w:type="dxa" w:w="1728"/>
          </w:tcPr>
          <w:p>
            <w:r>
              <w:t>Slow</w:t>
            </w:r>
          </w:p>
        </w:tc>
        <w:tc>
          <w:tcPr>
            <w:tcW w:type="dxa" w:w="1728"/>
          </w:tcPr>
          <w:p>
            <w:r>
              <w:rPr>
                <w:b/>
              </w:rPr>
              <w:t>Fast</w:t>
            </w:r>
          </w:p>
        </w:tc>
      </w:tr>
      <w:tr>
        <w:tc>
          <w:tcPr>
            <w:tcW w:type="dxa" w:w="1728"/>
          </w:tcPr>
          <w:p>
            <w:r>
              <w:t>Quality</w:t>
            </w:r>
          </w:p>
        </w:tc>
        <w:tc>
          <w:tcPr>
            <w:tcW w:type="dxa" w:w="1728"/>
          </w:tcPr>
          <w:p>
            <w:r>
              <w:t>Medium</w:t>
            </w:r>
          </w:p>
        </w:tc>
        <w:tc>
          <w:tcPr>
            <w:tcW w:type="dxa" w:w="1728"/>
          </w:tcPr>
          <w:p>
            <w:r>
              <w:t>Low-Variable</w:t>
            </w:r>
          </w:p>
        </w:tc>
        <w:tc>
          <w:tcPr>
            <w:tcW w:type="dxa" w:w="1728"/>
          </w:tcPr>
          <w:p>
            <w:r>
              <w:t>High (if done well)</w:t>
            </w:r>
          </w:p>
        </w:tc>
        <w:tc>
          <w:tcPr>
            <w:tcW w:type="dxa" w:w="1728"/>
          </w:tcPr>
          <w:p>
            <w:r>
              <w:rPr>
                <w:b/>
              </w:rPr>
              <w:t>High (guaranteed)</w:t>
            </w:r>
          </w:p>
        </w:tc>
      </w:tr>
      <w:tr>
        <w:tc>
          <w:tcPr>
            <w:tcW w:type="dxa" w:w="1728"/>
          </w:tcPr>
          <w:p>
            <w:r>
              <w:t>Customization</w:t>
            </w:r>
          </w:p>
        </w:tc>
        <w:tc>
          <w:tcPr>
            <w:tcW w:type="dxa" w:w="1728"/>
          </w:tcPr>
          <w:p>
            <w:r>
              <w:t>Limited</w:t>
            </w:r>
          </w:p>
        </w:tc>
        <w:tc>
          <w:tcPr>
            <w:tcW w:type="dxa" w:w="1728"/>
          </w:tcPr>
          <w:p>
            <w:r>
              <w:t>Unlimited (chaotic)</w:t>
            </w:r>
          </w:p>
        </w:tc>
        <w:tc>
          <w:tcPr>
            <w:tcW w:type="dxa" w:w="1728"/>
          </w:tcPr>
          <w:p>
            <w:r>
              <w:t>Full control</w:t>
            </w:r>
          </w:p>
        </w:tc>
        <w:tc>
          <w:tcPr>
            <w:tcW w:type="dxa" w:w="1728"/>
          </w:tcPr>
          <w:p>
            <w:r>
              <w:rPr>
                <w:b/>
              </w:rPr>
              <w:t>Full control</w:t>
            </w:r>
          </w:p>
        </w:tc>
      </w:tr>
      <w:tr>
        <w:tc>
          <w:tcPr>
            <w:tcW w:type="dxa" w:w="1728"/>
          </w:tcPr>
          <w:p>
            <w:r>
              <w:t>Maintainability</w:t>
            </w:r>
          </w:p>
        </w:tc>
        <w:tc>
          <w:tcPr>
            <w:tcW w:type="dxa" w:w="1728"/>
          </w:tcPr>
          <w:p>
            <w:r>
              <w:t>Platform-dependent</w:t>
            </w:r>
          </w:p>
        </w:tc>
        <w:tc>
          <w:tcPr>
            <w:tcW w:type="dxa" w:w="1728"/>
          </w:tcPr>
          <w:p>
            <w:r>
              <w:t>Poor</w:t>
            </w:r>
          </w:p>
        </w:tc>
        <w:tc>
          <w:tcPr>
            <w:tcW w:type="dxa" w:w="1728"/>
          </w:tcPr>
          <w:p>
            <w:r>
              <w:t>High</w:t>
            </w:r>
          </w:p>
        </w:tc>
        <w:tc>
          <w:tcPr>
            <w:tcW w:type="dxa" w:w="1728"/>
          </w:tcPr>
          <w:p>
            <w:r>
              <w:rPr>
                <w:b/>
              </w:rPr>
              <w:t>High</w:t>
            </w:r>
          </w:p>
        </w:tc>
      </w:tr>
      <w:tr>
        <w:tc>
          <w:tcPr>
            <w:tcW w:type="dxa" w:w="1728"/>
          </w:tcPr>
          <w:p>
            <w:r>
              <w:t>Cost</w:t>
            </w:r>
          </w:p>
        </w:tc>
        <w:tc>
          <w:tcPr>
            <w:tcW w:type="dxa" w:w="1728"/>
          </w:tcPr>
          <w:p>
            <w:r>
              <w:t>Medium + licensing</w:t>
            </w:r>
          </w:p>
        </w:tc>
        <w:tc>
          <w:tcPr>
            <w:tcW w:type="dxa" w:w="1728"/>
          </w:tcPr>
          <w:p>
            <w:r>
              <w:t>Low (initial)</w:t>
            </w:r>
          </w:p>
        </w:tc>
        <w:tc>
          <w:tcPr>
            <w:tcW w:type="dxa" w:w="1728"/>
          </w:tcPr>
          <w:p>
            <w:r>
              <w:t>High</w:t>
            </w:r>
          </w:p>
        </w:tc>
        <w:tc>
          <w:tcPr>
            <w:tcW w:type="dxa" w:w="1728"/>
          </w:tcPr>
          <w:p>
            <w:r>
              <w:rPr>
                <w:b/>
              </w:rPr>
              <w:t>Competitive</w:t>
            </w:r>
          </w:p>
        </w:tc>
      </w:tr>
    </w:tbl>
    <w:p/>
    <w:p>
      <w:pPr>
        <w:pStyle w:val="Heading2"/>
      </w:pPr>
      <w:r>
        <w:rPr>
          <w:color w:val="000000"/>
        </w:rPr>
        <w:t>The ADAPT Methodology</w:t>
      </w:r>
    </w:p>
    <w:p>
      <w:pPr>
        <w:spacing w:after="240"/>
      </w:pPr>
      <w:r>
        <w:t>Our delivery follows the ADAPT methodology—a structured approach that ensures quality at speed:</w:t>
      </w:r>
    </w:p>
    <w:p>
      <w:pPr>
        <w:spacing w:after="120"/>
        <w:ind w:left="360"/>
      </w:pPr>
      <w:r>
        <w:rPr>
          <w:b/>
        </w:rPr>
        <w:t xml:space="preserve">A — Assess: </w:t>
      </w:r>
      <w:r>
        <w:t>Deep understanding of requirements, existing systems, and constraints before writing any code.</w:t>
      </w:r>
    </w:p>
    <w:p>
      <w:pPr>
        <w:spacing w:after="120"/>
        <w:ind w:left="360"/>
      </w:pPr>
      <w:r>
        <w:rPr>
          <w:b/>
        </w:rPr>
        <w:t xml:space="preserve">D — Design: </w:t>
      </w:r>
      <w:r>
        <w:t>Architecture decisions documented and reviewed. No 'figure it out as we go.'</w:t>
      </w:r>
    </w:p>
    <w:p>
      <w:pPr>
        <w:spacing w:after="120"/>
        <w:ind w:left="360"/>
      </w:pPr>
      <w:r>
        <w:rPr>
          <w:b/>
        </w:rPr>
        <w:t xml:space="preserve">A — Assemble: </w:t>
      </w:r>
      <w:r>
        <w:t>AI-assisted code generation under engineer supervision. Every line reviewed.</w:t>
      </w:r>
    </w:p>
    <w:p>
      <w:pPr>
        <w:spacing w:after="120"/>
        <w:ind w:left="360"/>
      </w:pPr>
      <w:r>
        <w:rPr>
          <w:b/>
        </w:rPr>
        <w:t xml:space="preserve">P — Prove: </w:t>
      </w:r>
      <w:r>
        <w:t>Comprehensive testing, security review, and validation against requirements.</w:t>
      </w:r>
    </w:p>
    <w:p>
      <w:pPr>
        <w:spacing w:after="120"/>
        <w:ind w:left="360"/>
      </w:pPr>
      <w:r>
        <w:rPr>
          <w:b/>
        </w:rPr>
        <w:t xml:space="preserve">T — Transfer: </w:t>
      </w:r>
      <w:r>
        <w:t>Full documentation, walkthrough, and knowledge transfer. You own the code.</w:t>
      </w:r>
    </w:p>
    <w:p>
      <w:pPr>
        <w:spacing w:after="240"/>
      </w:pPr>
      <w:r>
        <w:rPr>
          <w:color w:val="666666"/>
          <w:sz w:val="16"/>
        </w:rPr>
        <w:t>────────────────────────────────────────────────────────────────────────────────</w:t>
      </w:r>
    </w:p>
    <w:p>
      <w:pPr>
        <w:pStyle w:val="Heading1"/>
      </w:pPr>
      <w:r>
        <w:rPr>
          <w:color w:val="000000"/>
        </w:rPr>
        <w:t>An Invitation to Experience the Model</w:t>
      </w:r>
    </w:p>
    <w:p>
      <w:pPr>
        <w:spacing w:after="240"/>
      </w:pPr>
      <w:r>
        <w:t>The price point for this engagement reflects a strategic decision, not a market rate. We are extending an invitation to experience Agentic Engineering firsthand.</w:t>
      </w:r>
    </w:p>
    <w:p>
      <w:pPr>
        <w:spacing w:after="240"/>
      </w:pPr>
      <w:r>
        <w:rPr>
          <w:b/>
        </w:rPr>
        <w:t xml:space="preserve">Why this price? </w:t>
      </w:r>
      <w:r>
        <w:t>Agentic Engineering is a relatively unknown delivery model. Many organizations are skeptical—and rightfully so, given the hype and disappointment cycles in technology. We believe the best way to demonstrate the model is to deliver results that speak for themselves.</w:t>
      </w:r>
    </w:p>
    <w:p>
      <w:pPr>
        <w:spacing w:after="240"/>
      </w:pPr>
      <w:r>
        <w:rPr>
          <w:b/>
        </w:rPr>
        <w:t xml:space="preserve">What this is NOT: </w:t>
      </w:r>
      <w:r>
        <w:t>This is not a race to the bottom. We are not undercutting the market to win volume. This price is a one-time showcase opportunity—an investment in demonstrating capability and building a reference relationship. Future engagements will reflect the true value delivered.</w:t>
      </w:r>
    </w:p>
    <w:p>
      <w:r>
        <w:rPr>
          <w:b/>
        </w:rPr>
        <w:t xml:space="preserve">What you get: </w:t>
      </w:r>
      <w:r>
        <w:t>The same quality, rigor, and professionalism as our full-rate engagements. No shortcuts. No reduced scope. No junior resources. You receive our best work.</w:t>
      </w:r>
    </w:p>
    <w:p>
      <w:pPr>
        <w:spacing w:after="240"/>
      </w:pPr>
      <w:r>
        <w:rPr>
          <w:color w:val="666666"/>
          <w:sz w:val="16"/>
        </w:rPr>
        <w:t>────────────────────────────────────────────────────────────────────────────────</w:t>
      </w:r>
    </w:p>
    <w:p>
      <w:pPr>
        <w:pStyle w:val="Heading1"/>
      </w:pPr>
      <w:r>
        <w:rPr>
          <w:color w:val="000000"/>
        </w:rPr>
        <w:t>Our Guarantees</w:t>
      </w:r>
    </w:p>
    <w:p>
      <w:pPr>
        <w:spacing w:after="320"/>
      </w:pPr>
      <w:r>
        <w:t>We don't ask you to trust our judgment of quality. We ask you to define it.</w:t>
      </w:r>
    </w:p>
    <w:p>
      <w:pPr>
        <w:pStyle w:val="Heading2"/>
      </w:pPr>
      <w:r>
        <w:rPr>
          <w:color w:val="000000"/>
        </w:rPr>
        <w:t>Code Quality: Show Us Your Standard</w:t>
      </w:r>
    </w:p>
    <w:p>
      <w:pPr>
        <w:spacing w:after="160"/>
      </w:pPr>
      <w:r>
        <w:t>Show us examples of what you consider great code—or even beautiful code. It might be from your existing codebase, from an open-source project you admire, or from a book you reference. We will study it, understand its patterns, and adhere to that standard throughout our delivery.</w:t>
      </w:r>
    </w:p>
    <w:p>
      <w:pPr>
        <w:spacing w:after="320"/>
      </w:pPr>
      <w:r>
        <w:rPr>
          <w:b/>
        </w:rPr>
        <w:t xml:space="preserve">Examples might include: </w:t>
      </w:r>
      <w:r>
        <w:t>A Rails project with clean service objects, a React codebase with excellent component composition, a Go service with idiomatic error handling, or documentation-driven development patterns you value.</w:t>
      </w:r>
    </w:p>
    <w:p>
      <w:pPr>
        <w:pStyle w:val="Heading2"/>
      </w:pPr>
      <w:r>
        <w:rPr>
          <w:color w:val="000000"/>
        </w:rPr>
        <w:t>Documentation: Show Us What Impressed You</w:t>
      </w:r>
    </w:p>
    <w:p>
      <w:pPr>
        <w:spacing w:after="320"/>
      </w:pPr>
      <w:r>
        <w:t>Show us examples of solution architecture documents or technical documentation that made you say 'wow'—regardless of the context or industry. We will ADAPT to that standard. If you admire Stripe's API documentation, we'll structure ours similarly. If you prefer AWS's well-architected framework style, we'll match it.</w:t>
      </w:r>
    </w:p>
    <w:p>
      <w:pPr>
        <w:pStyle w:val="Heading2"/>
      </w:pPr>
      <w:r>
        <w:rPr>
          <w:color w:val="000000"/>
        </w:rPr>
        <w:t>Delivery Walkthrough: Full Transparency</w:t>
      </w:r>
    </w:p>
    <w:p>
      <w:pPr>
        <w:spacing w:after="160"/>
      </w:pPr>
      <w:r>
        <w:t>At the end of our delivery, we will conduct a full one-hour walkthrough with your technical team. We will demonstrate that we have strictly delivered within the agreed parameters—no more, no less. Every screen, every integration, every business rule will be shown working against real data.</w:t>
      </w:r>
    </w:p>
    <w:p>
      <w:r>
        <w:t>This document defines those parameters. Everything marked 'IN SCOPE' will be delivered. Everything marked 'OUT OF SCOPE' will not be delivered—and we will not charge extra for scope we never agreed to.</w:t>
      </w:r>
    </w:p>
    <w:p>
      <w:pPr>
        <w:spacing w:after="240"/>
      </w:pPr>
      <w:r>
        <w:rPr>
          <w:color w:val="666666"/>
          <w:sz w:val="16"/>
        </w:rPr>
        <w:t>────────────────────────────────────────────────────────────────────────────────</w:t>
      </w:r>
    </w:p>
    <w:p>
      <w:pPr>
        <w:pStyle w:val="Heading1"/>
      </w:pPr>
      <w:r>
        <w:rPr>
          <w:color w:val="000000"/>
        </w:rPr>
        <w:t>Our Aim: Partnership</w:t>
      </w:r>
    </w:p>
    <w:p>
      <w:pPr>
        <w:spacing w:after="240"/>
      </w:pPr>
      <w:r>
        <w:t>We are not looking for a transaction. We are looking for a partnership.</w:t>
      </w:r>
    </w:p>
    <w:p>
      <w:pPr>
        <w:spacing w:after="240"/>
      </w:pPr>
      <w:r>
        <w:t>STARK Group's digital transformation journey spans multiple systems, teams, and years. We believe Agentic Engineering can be a valuable capability in that journey—not just for procurement, but across the portfolio. This engagement is an opportunity for both parties to evaluate fit.</w:t>
      </w:r>
    </w:p>
    <w:p>
      <w:r>
        <w:rPr>
          <w:b/>
        </w:rPr>
        <w:t xml:space="preserve">Success for us means: </w:t>
      </w:r>
      <w:r>
        <w:t>You complete this project with confidence in our capability, with a system you're proud of, and with the desire to continue working together.</w:t>
      </w:r>
    </w:p>
    <w:p>
      <w:r>
        <w:br w:type="page"/>
      </w:r>
    </w:p>
    <w:p>
      <w:pPr>
        <w:pStyle w:val="Heading1"/>
      </w:pPr>
      <w:r>
        <w:rPr>
          <w:color w:val="000000"/>
        </w:rPr>
        <w:t>Scope Definition: STARK Procurement</w:t>
      </w:r>
    </w:p>
    <w:p>
      <w:r>
        <w:rPr>
          <w:b/>
        </w:rPr>
        <w:t xml:space="preserve">Document Purpose: </w:t>
      </w:r>
      <w:r>
        <w:t>Vendor-ready, MECE scope definition for fixed-price delivery</w:t>
      </w:r>
    </w:p>
    <w:p>
      <w:r>
        <w:rPr>
          <w:b/>
        </w:rPr>
        <w:t xml:space="preserve">Version: </w:t>
      </w:r>
      <w:r>
        <w:t>1.0 DRAFT | Status: For Discussion</w:t>
      </w:r>
    </w:p>
    <w:p>
      <w:pPr>
        <w:spacing w:after="240"/>
      </w:pPr>
      <w:r>
        <w:rPr>
          <w:color w:val="666666"/>
          <w:sz w:val="16"/>
        </w:rPr>
        <w:t>────────────────────────────────────────────────────────────────────────────────</w:t>
      </w:r>
    </w:p>
    <w:p>
      <w:pPr>
        <w:pStyle w:val="Heading2"/>
      </w:pPr>
      <w:r>
        <w:rPr>
          <w:color w:val="000000"/>
        </w:rPr>
        <w:t>Executive Summary</w:t>
      </w:r>
    </w:p>
    <w:p>
      <w:pPr>
        <w:pStyle w:val="Heading3"/>
      </w:pPr>
      <w:r>
        <w:rPr>
          <w:color w:val="333333"/>
        </w:rPr>
        <w:t>What We Are Building</w:t>
      </w:r>
    </w:p>
    <w:p>
      <w:pPr>
        <w:spacing w:after="160"/>
      </w:pPr>
      <w:r>
        <w:t>A Procurement System that handles the complete Purchase-to-Pay workflow for STARK Group Denmark:</w:t>
      </w:r>
    </w:p>
    <w:p>
      <w:pPr>
        <w:spacing w:after="320"/>
        <w:jc w:val="center"/>
      </w:pPr>
      <w:r>
        <w:rPr>
          <w:b/>
        </w:rPr>
        <w:t>PR Ingestion → PO Generation → Supplier Communication → Invoice Matching → Approval</w:t>
      </w:r>
    </w:p>
    <w:p>
      <w:pPr>
        <w:pStyle w:val="Heading3"/>
      </w:pPr>
      <w:r>
        <w:rPr>
          <w:color w:val="333333"/>
        </w:rPr>
        <w:t>What We Are NOT Building</w:t>
      </w:r>
    </w:p>
    <w:p>
      <w:pPr>
        <w:pStyle w:val="ListBullet"/>
        <w:spacing w:after="80"/>
      </w:pPr>
      <w:r>
        <w:t>Warehouse Management (NYCE team)</w:t>
      </w:r>
    </w:p>
    <w:p>
      <w:pPr>
        <w:pStyle w:val="ListBullet"/>
        <w:spacing w:after="80"/>
      </w:pPr>
      <w:r>
        <w:t>Financial Accounting (SAP Finance team)</w:t>
      </w:r>
    </w:p>
    <w:p>
      <w:pPr>
        <w:pStyle w:val="ListBullet"/>
        <w:spacing w:after="80"/>
      </w:pPr>
      <w:r>
        <w:t>E-commerce Platform (ECom team)</w:t>
      </w:r>
    </w:p>
    <w:p>
      <w:pPr>
        <w:pStyle w:val="ListBullet"/>
        <w:spacing w:after="80"/>
      </w:pPr>
      <w:r>
        <w:t>Demand Planning (Relex team)</w:t>
      </w:r>
    </w:p>
    <w:p>
      <w:pPr>
        <w:pStyle w:val="ListBullet"/>
        <w:spacing w:after="80"/>
      </w:pPr>
      <w:r>
        <w:t>Contract Management (Icertis team)</w:t>
      </w:r>
    </w:p>
    <w:p>
      <w:pPr>
        <w:pStyle w:val="Heading3"/>
      </w:pPr>
      <w:r>
        <w:rPr>
          <w:color w:val="333333"/>
        </w:rPr>
        <w:t>Scale</w:t>
      </w:r>
    </w:p>
    <w:tbl>
      <w:tblPr>
        <w:tblStyle w:val="TableGrid"/>
        <w:tblW w:type="auto" w:w="0"/>
        <w:tblLook w:firstColumn="1" w:firstRow="1" w:lastColumn="0" w:lastRow="0" w:noHBand="0" w:noVBand="1" w:val="04A0"/>
      </w:tblPr>
      <w:tblGrid>
        <w:gridCol w:w="4320"/>
        <w:gridCol w:w="4320"/>
      </w:tblGrid>
      <w:tr>
        <w:tc>
          <w:tcPr>
            <w:tcW w:type="dxa" w:w="4320"/>
            <w:shd w:fill="333333"/>
          </w:tcPr>
          <w:p>
            <w:r>
              <w:rPr>
                <w:b/>
                <w:color w:val="FFFFFF"/>
              </w:rPr>
              <w:t>Metric</w:t>
            </w:r>
          </w:p>
        </w:tc>
        <w:tc>
          <w:tcPr>
            <w:tcW w:type="dxa" w:w="4320"/>
            <w:shd w:fill="333333"/>
          </w:tcPr>
          <w:p>
            <w:r>
              <w:rPr>
                <w:b/>
                <w:color w:val="FFFFFF"/>
              </w:rPr>
              <w:t>Annual Volume</w:t>
            </w:r>
          </w:p>
        </w:tc>
      </w:tr>
      <w:tr>
        <w:tc>
          <w:tcPr>
            <w:tcW w:type="dxa" w:w="4320"/>
          </w:tcPr>
          <w:p>
            <w:r>
              <w:t>Purchase Orders</w:t>
            </w:r>
          </w:p>
        </w:tc>
        <w:tc>
          <w:tcPr>
            <w:tcW w:type="dxa" w:w="4320"/>
          </w:tcPr>
          <w:p>
            <w:r>
              <w:t>750,000</w:t>
            </w:r>
          </w:p>
        </w:tc>
      </w:tr>
      <w:tr>
        <w:tc>
          <w:tcPr>
            <w:tcW w:type="dxa" w:w="4320"/>
          </w:tcPr>
          <w:p>
            <w:r>
              <w:t>PO Value</w:t>
            </w:r>
          </w:p>
        </w:tc>
        <w:tc>
          <w:tcPr>
            <w:tcW w:type="dxa" w:w="4320"/>
          </w:tcPr>
          <w:p>
            <w:r>
              <w:t>€1.1B</w:t>
            </w:r>
          </w:p>
        </w:tc>
      </w:tr>
      <w:tr>
        <w:tc>
          <w:tcPr>
            <w:tcW w:type="dxa" w:w="4320"/>
          </w:tcPr>
          <w:p>
            <w:r>
              <w:t>Suppliers</w:t>
            </w:r>
          </w:p>
        </w:tc>
        <w:tc>
          <w:tcPr>
            <w:tcW w:type="dxa" w:w="4320"/>
          </w:tcPr>
          <w:p>
            <w:r>
              <w:t>10,000</w:t>
            </w:r>
          </w:p>
        </w:tc>
      </w:tr>
      <w:tr>
        <w:tc>
          <w:tcPr>
            <w:tcW w:type="dxa" w:w="4320"/>
          </w:tcPr>
          <w:p>
            <w:r>
              <w:t>Branches</w:t>
            </w:r>
          </w:p>
        </w:tc>
        <w:tc>
          <w:tcPr>
            <w:tcW w:type="dxa" w:w="4320"/>
          </w:tcPr>
          <w:p>
            <w:r>
              <w:t>84</w:t>
            </w:r>
          </w:p>
        </w:tc>
      </w:tr>
      <w:tr>
        <w:tc>
          <w:tcPr>
            <w:tcW w:type="dxa" w:w="4320"/>
          </w:tcPr>
          <w:p>
            <w:r>
              <w:t>System Users</w:t>
            </w:r>
          </w:p>
        </w:tc>
        <w:tc>
          <w:tcPr>
            <w:tcW w:type="dxa" w:w="4320"/>
          </w:tcPr>
          <w:p>
            <w:r>
              <w:t>30 procurement staff</w:t>
            </w:r>
          </w:p>
        </w:tc>
      </w:tr>
    </w:tbl>
    <w:p/>
    <w:p>
      <w:pPr>
        <w:spacing w:after="240"/>
      </w:pPr>
      <w:r>
        <w:rPr>
          <w:color w:val="666666"/>
          <w:sz w:val="16"/>
        </w:rPr>
        <w:t>────────────────────────────────────────────────────────────────────────────────</w:t>
      </w:r>
    </w:p>
    <w:p>
      <w:pPr>
        <w:pStyle w:val="Heading2"/>
      </w:pPr>
      <w:r>
        <w:rPr>
          <w:color w:val="000000"/>
        </w:rPr>
        <w:t>Users &amp; Roles</w:t>
      </w:r>
    </w:p>
    <w:p>
      <w:pPr>
        <w:pStyle w:val="Heading3"/>
      </w:pPr>
      <w:r>
        <w:rPr>
          <w:color w:val="333333"/>
        </w:rPr>
        <w:t>User Population</w:t>
      </w:r>
    </w:p>
    <w:tbl>
      <w:tblPr>
        <w:tblStyle w:val="TableGrid"/>
        <w:tblW w:type="auto" w:w="0"/>
        <w:tblLook w:firstColumn="1" w:firstRow="1" w:lastColumn="0" w:lastRow="0" w:noHBand="0" w:noVBand="1" w:val="04A0"/>
      </w:tblPr>
      <w:tblGrid>
        <w:gridCol w:w="2880"/>
        <w:gridCol w:w="2880"/>
        <w:gridCol w:w="2880"/>
      </w:tblGrid>
      <w:tr>
        <w:tc>
          <w:tcPr>
            <w:tcW w:type="dxa" w:w="2880"/>
            <w:shd w:fill="333333"/>
          </w:tcPr>
          <w:p>
            <w:r>
              <w:rPr>
                <w:b/>
                <w:color w:val="FFFFFF"/>
              </w:rPr>
              <w:t>Role</w:t>
            </w:r>
          </w:p>
        </w:tc>
        <w:tc>
          <w:tcPr>
            <w:tcW w:type="dxa" w:w="2880"/>
            <w:shd w:fill="333333"/>
          </w:tcPr>
          <w:p>
            <w:r>
              <w:rPr>
                <w:b/>
                <w:color w:val="FFFFFF"/>
              </w:rPr>
              <w:t>Count (est.)</w:t>
            </w:r>
          </w:p>
        </w:tc>
        <w:tc>
          <w:tcPr>
            <w:tcW w:type="dxa" w:w="2880"/>
            <w:shd w:fill="333333"/>
          </w:tcPr>
          <w:p>
            <w:r>
              <w:rPr>
                <w:b/>
                <w:color w:val="FFFFFF"/>
              </w:rPr>
              <w:t>Primary Function</w:t>
            </w:r>
          </w:p>
        </w:tc>
      </w:tr>
      <w:tr>
        <w:tc>
          <w:tcPr>
            <w:tcW w:type="dxa" w:w="2880"/>
          </w:tcPr>
          <w:p>
            <w:r>
              <w:t>Buyer</w:t>
            </w:r>
          </w:p>
        </w:tc>
        <w:tc>
          <w:tcPr>
            <w:tcW w:type="dxa" w:w="2880"/>
          </w:tcPr>
          <w:p>
            <w:r>
              <w:t>~20</w:t>
            </w:r>
          </w:p>
        </w:tc>
        <w:tc>
          <w:tcPr>
            <w:tcW w:type="dxa" w:w="2880"/>
          </w:tcPr>
          <w:p>
            <w:r>
              <w:t>PR review, PO creation, bundling, invoice matching</w:t>
            </w:r>
          </w:p>
        </w:tc>
      </w:tr>
      <w:tr>
        <w:tc>
          <w:tcPr>
            <w:tcW w:type="dxa" w:w="2880"/>
          </w:tcPr>
          <w:p>
            <w:r>
              <w:t>Approver</w:t>
            </w:r>
          </w:p>
        </w:tc>
        <w:tc>
          <w:tcPr>
            <w:tcW w:type="dxa" w:w="2880"/>
          </w:tcPr>
          <w:p>
            <w:r>
              <w:t>~8</w:t>
            </w:r>
          </w:p>
        </w:tc>
        <w:tc>
          <w:tcPr>
            <w:tcW w:type="dxa" w:w="2880"/>
          </w:tcPr>
          <w:p>
            <w:r>
              <w:t>PO approval, invoice approval, exception handling</w:t>
            </w:r>
          </w:p>
        </w:tc>
      </w:tr>
      <w:tr>
        <w:tc>
          <w:tcPr>
            <w:tcW w:type="dxa" w:w="2880"/>
          </w:tcPr>
          <w:p>
            <w:r>
              <w:t>Admin</w:t>
            </w:r>
          </w:p>
        </w:tc>
        <w:tc>
          <w:tcPr>
            <w:tcW w:type="dxa" w:w="2880"/>
          </w:tcPr>
          <w:p>
            <w:r>
              <w:t>~2</w:t>
            </w:r>
          </w:p>
        </w:tc>
        <w:tc>
          <w:tcPr>
            <w:tcW w:type="dxa" w:w="2880"/>
          </w:tcPr>
          <w:p>
            <w:r>
              <w:t>System configuration, user support, reporting</w:t>
            </w:r>
          </w:p>
        </w:tc>
      </w:tr>
    </w:tbl>
    <w:p/>
    <w:p>
      <w:pPr>
        <w:pStyle w:val="Heading3"/>
      </w:pPr>
      <w:r>
        <w:rPr>
          <w:color w:val="333333"/>
        </w:rPr>
        <w:t>Role Definitions</w:t>
      </w:r>
    </w:p>
    <w:p>
      <w:pPr>
        <w:spacing w:after="160"/>
      </w:pPr>
      <w:r>
        <w:rPr>
          <w:b/>
        </w:rPr>
        <w:t xml:space="preserve">Buyer: </w:t>
      </w:r>
      <w:r>
        <w:t>Day-to-day procurement operations. Reviews PRs, creates/sends POs, matches invoices, resolves discrepancies within tolerance. Cannot approve above their personal authority limit.</w:t>
      </w:r>
    </w:p>
    <w:p>
      <w:pPr>
        <w:spacing w:after="160"/>
      </w:pPr>
      <w:r>
        <w:rPr>
          <w:b/>
        </w:rPr>
        <w:t xml:space="preserve">Approver: </w:t>
      </w:r>
      <w:r>
        <w:t>Decision authority for high-value transactions. Approves POs and invoices above threshold. Handles escalated discrepancies. May also perform Buyer functions.</w:t>
      </w:r>
    </w:p>
    <w:p>
      <w:pPr>
        <w:spacing w:after="160"/>
      </w:pPr>
      <w:r>
        <w:rPr>
          <w:b/>
        </w:rPr>
        <w:t xml:space="preserve">Admin: </w:t>
      </w:r>
      <w:r>
        <w:t>System configuration and support. Manages thresholds, supplier preferences, cut-off times, user authority limits, and delegations. No transactional authority beyond Approver role.</w:t>
      </w:r>
    </w:p>
    <w:p>
      <w:pPr>
        <w:spacing w:after="240"/>
      </w:pPr>
      <w:r>
        <w:rPr>
          <w:color w:val="666666"/>
          <w:sz w:val="16"/>
        </w:rPr>
        <w:t>────────────────────────────────────────────────────────────────────────────────</w:t>
      </w:r>
    </w:p>
    <w:p>
      <w:pPr>
        <w:pStyle w:val="Heading2"/>
      </w:pPr>
      <w:r>
        <w:rPr>
          <w:color w:val="000000"/>
        </w:rPr>
        <w:t>Scope Structure</w:t>
      </w:r>
    </w:p>
    <w:p>
      <w:pPr>
        <w:spacing w:after="240"/>
      </w:pPr>
      <w:r>
        <w:t>This document defines scope across 5 mutually exclusive domains:</w:t>
      </w:r>
    </w:p>
    <w:p>
      <w:pPr>
        <w:spacing w:after="120"/>
      </w:pPr>
      <w:r>
        <w:rPr>
          <w:b/>
        </w:rPr>
        <w:t xml:space="preserve">Domain 1: User Interface: </w:t>
      </w:r>
      <w:r>
        <w:t>Screens, components, interactions</w:t>
      </w:r>
    </w:p>
    <w:p>
      <w:pPr>
        <w:spacing w:after="120"/>
      </w:pPr>
      <w:r>
        <w:rPr>
          <w:b/>
        </w:rPr>
        <w:t xml:space="preserve">Domain 2: Business Logic: </w:t>
      </w:r>
      <w:r>
        <w:t>Rules, calculations, workflows</w:t>
      </w:r>
    </w:p>
    <w:p>
      <w:pPr>
        <w:spacing w:after="120"/>
      </w:pPr>
      <w:r>
        <w:rPr>
          <w:b/>
        </w:rPr>
        <w:t xml:space="preserve">Domain 3: Data Layer: </w:t>
      </w:r>
      <w:r>
        <w:t>Storage, queries, synchronization</w:t>
      </w:r>
    </w:p>
    <w:p>
      <w:pPr>
        <w:spacing w:after="120"/>
      </w:pPr>
      <w:r>
        <w:rPr>
          <w:b/>
        </w:rPr>
        <w:t xml:space="preserve">Domain 4: Integrations: </w:t>
      </w:r>
      <w:r>
        <w:t>Inbound data, outbound data, APIs</w:t>
      </w:r>
    </w:p>
    <w:p>
      <w:pPr>
        <w:spacing w:after="120"/>
      </w:pPr>
      <w:r>
        <w:rPr>
          <w:b/>
        </w:rPr>
        <w:t xml:space="preserve">Domain 5: Operations: </w:t>
      </w:r>
      <w:r>
        <w:t>Infrastructure, deployment, monitoring</w:t>
      </w:r>
    </w:p>
    <w:p>
      <w:pPr>
        <w:spacing w:after="160"/>
      </w:pPr>
      <w:r>
        <w:br/>
        <w:t>For each domain, we define:</w:t>
      </w:r>
    </w:p>
    <w:p>
      <w:pPr>
        <w:pStyle w:val="ListBullet"/>
        <w:spacing w:after="80"/>
      </w:pPr>
      <w:r>
        <w:t>IN — We build, we own, we deliver</w:t>
      </w:r>
    </w:p>
    <w:p>
      <w:pPr>
        <w:pStyle w:val="ListBullet"/>
        <w:spacing w:after="80"/>
      </w:pPr>
      <w:r>
        <w:t>OUT — Someone else owns, we don't touch</w:t>
      </w:r>
    </w:p>
    <w:p>
      <w:pPr>
        <w:pStyle w:val="ListBullet"/>
        <w:spacing w:after="80"/>
      </w:pPr>
      <w:r>
        <w:t>BOUNDARY — Exact handoff point</w:t>
      </w:r>
    </w:p>
    <w:p>
      <w:pPr>
        <w:spacing w:after="240"/>
      </w:pPr>
      <w:r>
        <w:rPr>
          <w:color w:val="666666"/>
          <w:sz w:val="16"/>
        </w:rPr>
        <w:t>────────────────────────────────────────────────────────────────────────────────</w:t>
      </w:r>
    </w:p>
    <w:p>
      <w:pPr>
        <w:pStyle w:val="Heading2"/>
      </w:pPr>
      <w:r>
        <w:rPr>
          <w:color w:val="000000"/>
        </w:rPr>
        <w:t>Domain 1: User Interface</w:t>
      </w:r>
    </w:p>
    <w:p>
      <w:pPr>
        <w:pStyle w:val="Heading3"/>
      </w:pPr>
      <w:r>
        <w:rPr>
          <w:color w:val="333333"/>
        </w:rPr>
        <w:t>1.1 Screens — IN SCOPE</w:t>
      </w:r>
    </w:p>
    <w:tbl>
      <w:tblPr>
        <w:tblStyle w:val="TableGrid"/>
        <w:tblW w:type="auto" w:w="0"/>
        <w:tblLook w:firstColumn="1" w:firstRow="1" w:lastColumn="0" w:lastRow="0" w:noHBand="0" w:noVBand="1" w:val="04A0"/>
      </w:tblPr>
      <w:tblGrid>
        <w:gridCol w:w="2880"/>
        <w:gridCol w:w="2880"/>
        <w:gridCol w:w="2880"/>
      </w:tblGrid>
      <w:tr>
        <w:tc>
          <w:tcPr>
            <w:tcW w:type="dxa" w:w="2880"/>
            <w:shd w:fill="333333"/>
          </w:tcPr>
          <w:p>
            <w:r>
              <w:rPr>
                <w:b/>
                <w:color w:val="FFFFFF"/>
              </w:rPr>
              <w:t>Screen ID</w:t>
            </w:r>
          </w:p>
        </w:tc>
        <w:tc>
          <w:tcPr>
            <w:tcW w:type="dxa" w:w="2880"/>
            <w:shd w:fill="333333"/>
          </w:tcPr>
          <w:p>
            <w:r>
              <w:rPr>
                <w:b/>
                <w:color w:val="FFFFFF"/>
              </w:rPr>
              <w:t>Name</w:t>
            </w:r>
          </w:p>
        </w:tc>
        <w:tc>
          <w:tcPr>
            <w:tcW w:type="dxa" w:w="2880"/>
            <w:shd w:fill="333333"/>
          </w:tcPr>
          <w:p>
            <w:r>
              <w:rPr>
                <w:b/>
                <w:color w:val="FFFFFF"/>
              </w:rPr>
              <w:t>Purpose</w:t>
            </w:r>
          </w:p>
        </w:tc>
      </w:tr>
      <w:tr>
        <w:tc>
          <w:tcPr>
            <w:tcW w:type="dxa" w:w="2880"/>
          </w:tcPr>
          <w:p>
            <w:r>
              <w:t>A1</w:t>
            </w:r>
          </w:p>
        </w:tc>
        <w:tc>
          <w:tcPr>
            <w:tcW w:type="dxa" w:w="2880"/>
          </w:tcPr>
          <w:p>
            <w:r>
              <w:t>PR Inbox</w:t>
            </w:r>
          </w:p>
        </w:tc>
        <w:tc>
          <w:tcPr>
            <w:tcW w:type="dxa" w:w="2880"/>
          </w:tcPr>
          <w:p>
            <w:r>
              <w:t>View and manage incoming purchase requests</w:t>
            </w:r>
          </w:p>
        </w:tc>
      </w:tr>
      <w:tr>
        <w:tc>
          <w:tcPr>
            <w:tcW w:type="dxa" w:w="2880"/>
          </w:tcPr>
          <w:p>
            <w:r>
              <w:t>A2</w:t>
            </w:r>
          </w:p>
        </w:tc>
        <w:tc>
          <w:tcPr>
            <w:tcW w:type="dxa" w:w="2880"/>
          </w:tcPr>
          <w:p>
            <w:r>
              <w:t>PR Detail</w:t>
            </w:r>
          </w:p>
        </w:tc>
        <w:tc>
          <w:tcPr>
            <w:tcW w:type="dxa" w:w="2880"/>
          </w:tcPr>
          <w:p>
            <w:r>
              <w:t>Individual PR with line items</w:t>
            </w:r>
          </w:p>
        </w:tc>
      </w:tr>
      <w:tr>
        <w:tc>
          <w:tcPr>
            <w:tcW w:type="dxa" w:w="2880"/>
          </w:tcPr>
          <w:p>
            <w:r>
              <w:t>B1</w:t>
            </w:r>
          </w:p>
        </w:tc>
        <w:tc>
          <w:tcPr>
            <w:tcW w:type="dxa" w:w="2880"/>
          </w:tcPr>
          <w:p>
            <w:r>
              <w:t>PO List</w:t>
            </w:r>
          </w:p>
        </w:tc>
        <w:tc>
          <w:tcPr>
            <w:tcW w:type="dxa" w:w="2880"/>
          </w:tcPr>
          <w:p>
            <w:r>
              <w:t>View and manage purchase orders</w:t>
            </w:r>
          </w:p>
        </w:tc>
      </w:tr>
      <w:tr>
        <w:tc>
          <w:tcPr>
            <w:tcW w:type="dxa" w:w="2880"/>
          </w:tcPr>
          <w:p>
            <w:r>
              <w:t>B2</w:t>
            </w:r>
          </w:p>
        </w:tc>
        <w:tc>
          <w:tcPr>
            <w:tcW w:type="dxa" w:w="2880"/>
          </w:tcPr>
          <w:p>
            <w:r>
              <w:t>PO Detail</w:t>
            </w:r>
          </w:p>
        </w:tc>
        <w:tc>
          <w:tcPr>
            <w:tcW w:type="dxa" w:w="2880"/>
          </w:tcPr>
          <w:p>
            <w:r>
              <w:t>Individual PO with supplier, items, status</w:t>
            </w:r>
          </w:p>
        </w:tc>
      </w:tr>
      <w:tr>
        <w:tc>
          <w:tcPr>
            <w:tcW w:type="dxa" w:w="2880"/>
          </w:tcPr>
          <w:p>
            <w:r>
              <w:t>B3</w:t>
            </w:r>
          </w:p>
        </w:tc>
        <w:tc>
          <w:tcPr>
            <w:tcW w:type="dxa" w:w="2880"/>
          </w:tcPr>
          <w:p>
            <w:r>
              <w:t>PO Kanban</w:t>
            </w:r>
          </w:p>
        </w:tc>
        <w:tc>
          <w:tcPr>
            <w:tcW w:type="dxa" w:w="2880"/>
          </w:tcPr>
          <w:p>
            <w:r>
              <w:t>Visual pipeline (Draft → Sent → Confirmed → Received)</w:t>
            </w:r>
          </w:p>
        </w:tc>
      </w:tr>
      <w:tr>
        <w:tc>
          <w:tcPr>
            <w:tcW w:type="dxa" w:w="2880"/>
          </w:tcPr>
          <w:p>
            <w:r>
              <w:t>C1</w:t>
            </w:r>
          </w:p>
        </w:tc>
        <w:tc>
          <w:tcPr>
            <w:tcW w:type="dxa" w:w="2880"/>
          </w:tcPr>
          <w:p>
            <w:r>
              <w:t>Bundling Workspace</w:t>
            </w:r>
          </w:p>
        </w:tc>
        <w:tc>
          <w:tcPr>
            <w:tcW w:type="dxa" w:w="2880"/>
          </w:tcPr>
          <w:p>
            <w:r>
              <w:t>Group PRs into optimized POs</w:t>
            </w:r>
          </w:p>
        </w:tc>
      </w:tr>
      <w:tr>
        <w:tc>
          <w:tcPr>
            <w:tcW w:type="dxa" w:w="2880"/>
          </w:tcPr>
          <w:p>
            <w:r>
              <w:t>D1</w:t>
            </w:r>
          </w:p>
        </w:tc>
        <w:tc>
          <w:tcPr>
            <w:tcW w:type="dxa" w:w="2880"/>
          </w:tcPr>
          <w:p>
            <w:r>
              <w:t>Invoice List</w:t>
            </w:r>
          </w:p>
        </w:tc>
        <w:tc>
          <w:tcPr>
            <w:tcW w:type="dxa" w:w="2880"/>
          </w:tcPr>
          <w:p>
            <w:r>
              <w:t>View and manage supplier invoices</w:t>
            </w:r>
          </w:p>
        </w:tc>
      </w:tr>
      <w:tr>
        <w:tc>
          <w:tcPr>
            <w:tcW w:type="dxa" w:w="2880"/>
          </w:tcPr>
          <w:p>
            <w:r>
              <w:t>D2</w:t>
            </w:r>
          </w:p>
        </w:tc>
        <w:tc>
          <w:tcPr>
            <w:tcW w:type="dxa" w:w="2880"/>
          </w:tcPr>
          <w:p>
            <w:r>
              <w:t>Invoice Detail</w:t>
            </w:r>
          </w:p>
        </w:tc>
        <w:tc>
          <w:tcPr>
            <w:tcW w:type="dxa" w:w="2880"/>
          </w:tcPr>
          <w:p>
            <w:r>
              <w:t>Individual invoice with matching status</w:t>
            </w:r>
          </w:p>
        </w:tc>
      </w:tr>
      <w:tr>
        <w:tc>
          <w:tcPr>
            <w:tcW w:type="dxa" w:w="2880"/>
          </w:tcPr>
          <w:p>
            <w:r>
              <w:t>D3</w:t>
            </w:r>
          </w:p>
        </w:tc>
        <w:tc>
          <w:tcPr>
            <w:tcW w:type="dxa" w:w="2880"/>
          </w:tcPr>
          <w:p>
            <w:r>
              <w:t>Match Results</w:t>
            </w:r>
          </w:p>
        </w:tc>
        <w:tc>
          <w:tcPr>
            <w:tcW w:type="dxa" w:w="2880"/>
          </w:tcPr>
          <w:p>
            <w:r>
              <w:t>Side-by-side PO vs Invoice comparison</w:t>
            </w:r>
          </w:p>
        </w:tc>
      </w:tr>
      <w:tr>
        <w:tc>
          <w:tcPr>
            <w:tcW w:type="dxa" w:w="2880"/>
          </w:tcPr>
          <w:p>
            <w:r>
              <w:t>D4</w:t>
            </w:r>
          </w:p>
        </w:tc>
        <w:tc>
          <w:tcPr>
            <w:tcW w:type="dxa" w:w="2880"/>
          </w:tcPr>
          <w:p>
            <w:r>
              <w:t>Discrepancy Queue</w:t>
            </w:r>
          </w:p>
        </w:tc>
        <w:tc>
          <w:tcPr>
            <w:tcW w:type="dxa" w:w="2880"/>
          </w:tcPr>
          <w:p>
            <w:r>
              <w:t>Invoices requiring manual resolution</w:t>
            </w:r>
          </w:p>
        </w:tc>
      </w:tr>
      <w:tr>
        <w:tc>
          <w:tcPr>
            <w:tcW w:type="dxa" w:w="2880"/>
          </w:tcPr>
          <w:p>
            <w:r>
              <w:t>E1</w:t>
            </w:r>
          </w:p>
        </w:tc>
        <w:tc>
          <w:tcPr>
            <w:tcW w:type="dxa" w:w="2880"/>
          </w:tcPr>
          <w:p>
            <w:r>
              <w:t>Approval Queue</w:t>
            </w:r>
          </w:p>
        </w:tc>
        <w:tc>
          <w:tcPr>
            <w:tcW w:type="dxa" w:w="2880"/>
          </w:tcPr>
          <w:p>
            <w:r>
              <w:t>Items awaiting approval</w:t>
            </w:r>
          </w:p>
        </w:tc>
      </w:tr>
      <w:tr>
        <w:tc>
          <w:tcPr>
            <w:tcW w:type="dxa" w:w="2880"/>
          </w:tcPr>
          <w:p>
            <w:r>
              <w:t>E2</w:t>
            </w:r>
          </w:p>
        </w:tc>
        <w:tc>
          <w:tcPr>
            <w:tcW w:type="dxa" w:w="2880"/>
          </w:tcPr>
          <w:p>
            <w:r>
              <w:t>Approval History</w:t>
            </w:r>
          </w:p>
        </w:tc>
        <w:tc>
          <w:tcPr>
            <w:tcW w:type="dxa" w:w="2880"/>
          </w:tcPr>
          <w:p>
            <w:r>
              <w:t>Audit trail of decisions</w:t>
            </w:r>
          </w:p>
        </w:tc>
      </w:tr>
      <w:tr>
        <w:tc>
          <w:tcPr>
            <w:tcW w:type="dxa" w:w="2880"/>
          </w:tcPr>
          <w:p>
            <w:r>
              <w:t>F1</w:t>
            </w:r>
          </w:p>
        </w:tc>
        <w:tc>
          <w:tcPr>
            <w:tcW w:type="dxa" w:w="2880"/>
          </w:tcPr>
          <w:p>
            <w:r>
              <w:t>Supplier List</w:t>
            </w:r>
          </w:p>
        </w:tc>
        <w:tc>
          <w:tcPr>
            <w:tcW w:type="dxa" w:w="2880"/>
          </w:tcPr>
          <w:p>
            <w:r>
              <w:t>Supplier master data</w:t>
            </w:r>
          </w:p>
        </w:tc>
      </w:tr>
      <w:tr>
        <w:tc>
          <w:tcPr>
            <w:tcW w:type="dxa" w:w="2880"/>
          </w:tcPr>
          <w:p>
            <w:r>
              <w:t>F2</w:t>
            </w:r>
          </w:p>
        </w:tc>
        <w:tc>
          <w:tcPr>
            <w:tcW w:type="dxa" w:w="2880"/>
          </w:tcPr>
          <w:p>
            <w:r>
              <w:t>Supplier Detail</w:t>
            </w:r>
          </w:p>
        </w:tc>
        <w:tc>
          <w:tcPr>
            <w:tcW w:type="dxa" w:w="2880"/>
          </w:tcPr>
          <w:p>
            <w:r>
              <w:t>Individual supplier with performance</w:t>
            </w:r>
          </w:p>
        </w:tc>
      </w:tr>
      <w:tr>
        <w:tc>
          <w:tcPr>
            <w:tcW w:type="dxa" w:w="2880"/>
          </w:tcPr>
          <w:p>
            <w:r>
              <w:t>G1</w:t>
            </w:r>
          </w:p>
        </w:tc>
        <w:tc>
          <w:tcPr>
            <w:tcW w:type="dxa" w:w="2880"/>
          </w:tcPr>
          <w:p>
            <w:r>
              <w:t>Dashboard</w:t>
            </w:r>
          </w:p>
        </w:tc>
        <w:tc>
          <w:tcPr>
            <w:tcW w:type="dxa" w:w="2880"/>
          </w:tcPr>
          <w:p>
            <w:r>
              <w:t>Morning briefing, action items, KPIs</w:t>
            </w:r>
          </w:p>
        </w:tc>
      </w:tr>
      <w:tr>
        <w:tc>
          <w:tcPr>
            <w:tcW w:type="dxa" w:w="2880"/>
          </w:tcPr>
          <w:p>
            <w:r>
              <w:t>H1</w:t>
            </w:r>
          </w:p>
        </w:tc>
        <w:tc>
          <w:tcPr>
            <w:tcW w:type="dxa" w:w="2880"/>
          </w:tcPr>
          <w:p>
            <w:r>
              <w:t>Settings</w:t>
            </w:r>
          </w:p>
        </w:tc>
        <w:tc>
          <w:tcPr>
            <w:tcW w:type="dxa" w:w="2880"/>
          </w:tcPr>
          <w:p>
            <w:r>
              <w:t>User preferences, thresholds</w:t>
            </w:r>
          </w:p>
        </w:tc>
      </w:tr>
    </w:tbl>
    <w:p>
      <w:r>
        <w:rPr>
          <w:b/>
        </w:rPr>
        <w:br/>
        <w:t>Total: 16 screens</w:t>
      </w:r>
    </w:p>
    <w:p>
      <w:pPr>
        <w:spacing w:after="240"/>
      </w:pPr>
      <w:r>
        <w:rPr>
          <w:color w:val="666666"/>
          <w:sz w:val="16"/>
        </w:rPr>
        <w:t>────────────────────────────────────────────────────────────────────────────────</w:t>
      </w:r>
    </w:p>
    <w:p>
      <w:pPr>
        <w:pStyle w:val="Heading2"/>
      </w:pPr>
      <w:r>
        <w:rPr>
          <w:color w:val="000000"/>
        </w:rPr>
        <w:t>Domain 2: Business Logic</w:t>
      </w:r>
    </w:p>
    <w:p>
      <w:pPr>
        <w:pStyle w:val="Heading3"/>
      </w:pPr>
      <w:r>
        <w:rPr>
          <w:color w:val="333333"/>
        </w:rPr>
        <w:t>2.1 PR Processing — IN SCOPE</w:t>
      </w:r>
    </w:p>
    <w:p>
      <w:pPr>
        <w:spacing w:after="120"/>
      </w:pPr>
      <w:r>
        <w:rPr>
          <w:b/>
        </w:rPr>
        <w:t xml:space="preserve">PR Validation: </w:t>
      </w:r>
      <w:r>
        <w:t>Validate incoming PR data — Required fields present, valid supplier ID, positive quantities</w:t>
      </w:r>
    </w:p>
    <w:p>
      <w:pPr>
        <w:spacing w:after="120"/>
      </w:pPr>
      <w:r>
        <w:rPr>
          <w:b/>
        </w:rPr>
        <w:t xml:space="preserve">PR Deduplication: </w:t>
      </w:r>
      <w:r>
        <w:t>Detect duplicate PRs — Same source + reference = reject with 409</w:t>
      </w:r>
    </w:p>
    <w:p>
      <w:pPr>
        <w:spacing w:after="120"/>
      </w:pPr>
      <w:r>
        <w:rPr>
          <w:b/>
        </w:rPr>
        <w:t xml:space="preserve">Source Routing: </w:t>
      </w:r>
      <w:r>
        <w:t>Handle PR differently by source — Relex: batch at cut-off, ECom: immediate, SalesApp: per timing field</w:t>
      </w:r>
    </w:p>
    <w:p>
      <w:pPr>
        <w:spacing w:after="120"/>
      </w:pPr>
      <w:r>
        <w:rPr>
          <w:b/>
        </w:rPr>
        <w:t xml:space="preserve">Urgency Calculation: </w:t>
      </w:r>
      <w:r>
        <w:t>Assign escalation level — Based on value, age, need-by date</w:t>
      </w:r>
    </w:p>
    <w:p>
      <w:pPr>
        <w:pStyle w:val="Heading3"/>
      </w:pPr>
      <w:r>
        <w:rPr>
          <w:color w:val="333333"/>
        </w:rPr>
        <w:t>2.2 PO Generation — IN SCOPE</w:t>
      </w:r>
    </w:p>
    <w:p>
      <w:pPr>
        <w:spacing w:after="120"/>
      </w:pPr>
      <w:r>
        <w:rPr>
          <w:b/>
        </w:rPr>
        <w:t xml:space="preserve">Single PR → PO: </w:t>
      </w:r>
      <w:r>
        <w:t>Convert one PR to one PO — 1:1 mapping, all line items transferred</w:t>
      </w:r>
    </w:p>
    <w:p>
      <w:pPr>
        <w:spacing w:after="120"/>
      </w:pPr>
      <w:r>
        <w:rPr>
          <w:b/>
        </w:rPr>
        <w:t xml:space="preserve">Bundling: </w:t>
      </w:r>
      <w:r>
        <w:t>Combine PRs into one PO — Same supplier + same location + compatible timing</w:t>
      </w:r>
    </w:p>
    <w:p>
      <w:pPr>
        <w:spacing w:after="120"/>
      </w:pPr>
      <w:r>
        <w:rPr>
          <w:b/>
        </w:rPr>
        <w:t xml:space="preserve">Packet Specification: </w:t>
      </w:r>
      <w:r>
        <w:t>Mark items per-PR in bundled PO — Supplier receives clear picking instructions</w:t>
      </w:r>
    </w:p>
    <w:p>
      <w:pPr>
        <w:spacing w:after="120"/>
      </w:pPr>
      <w:r>
        <w:rPr>
          <w:b/>
        </w:rPr>
        <w:t xml:space="preserve">Cut-off Timing: </w:t>
      </w:r>
      <w:r>
        <w:t>Send PO at supplier cut-off — Configurable per supplier, default to immediate</w:t>
      </w:r>
    </w:p>
    <w:p>
      <w:pPr>
        <w:pStyle w:val="Heading3"/>
      </w:pPr>
      <w:r>
        <w:rPr>
          <w:color w:val="333333"/>
        </w:rPr>
        <w:t>2.5 Invoice Matching — IN SCOPE</w:t>
      </w:r>
    </w:p>
    <w:p>
      <w:pPr>
        <w:spacing w:after="120"/>
      </w:pPr>
      <w:r>
        <w:rPr>
          <w:b/>
        </w:rPr>
        <w:t xml:space="preserve">2-Way Match: </w:t>
      </w:r>
      <w:r>
        <w:t>Compare Invoice to PO — Match on PO number, line items, quantities, prices</w:t>
      </w:r>
    </w:p>
    <w:p>
      <w:pPr>
        <w:spacing w:after="120"/>
      </w:pPr>
      <w:r>
        <w:rPr>
          <w:b/>
        </w:rPr>
        <w:t xml:space="preserve">Tolerance Rules: </w:t>
      </w:r>
      <w:r>
        <w:t>Allow minor variances — Qty: ±2%, Price: ±1%, Total: ±DKK 100</w:t>
      </w:r>
    </w:p>
    <w:p>
      <w:pPr>
        <w:spacing w:after="120"/>
      </w:pPr>
      <w:r>
        <w:rPr>
          <w:b/>
        </w:rPr>
        <w:t xml:space="preserve">Discrepancy Detection: </w:t>
      </w:r>
      <w:r>
        <w:t>Flag mismatches — Qty mismatch, price mismatch, missing PO</w:t>
      </w:r>
    </w:p>
    <w:p>
      <w:pPr>
        <w:spacing w:after="120"/>
      </w:pPr>
      <w:r>
        <w:rPr>
          <w:b/>
        </w:rPr>
        <w:t xml:space="preserve">Auto-Approve: </w:t>
      </w:r>
      <w:r>
        <w:t>Pass matching invoices — Full match within tolerance = auto-approve</w:t>
      </w:r>
    </w:p>
    <w:p>
      <w:pPr>
        <w:spacing w:after="240"/>
      </w:pPr>
      <w:r>
        <w:rPr>
          <w:color w:val="666666"/>
          <w:sz w:val="16"/>
        </w:rPr>
        <w:t>────────────────────────────────────────────────────────────────────────────────</w:t>
      </w:r>
    </w:p>
    <w:p>
      <w:pPr>
        <w:pStyle w:val="Heading2"/>
      </w:pPr>
      <w:r>
        <w:rPr>
          <w:color w:val="000000"/>
        </w:rPr>
        <w:t>Domain 4: Integrations</w:t>
      </w:r>
    </w:p>
    <w:p>
      <w:pPr>
        <w:spacing w:after="240"/>
      </w:pPr>
      <w:r>
        <w:rPr>
          <w:b/>
        </w:rPr>
        <w:t xml:space="preserve">Architecture Decision: </w:t>
      </w:r>
      <w:r>
        <w:t>Kafka-native integration with per-source/per-consumer topic modularity. REST fallback for sources that cannot use Kafka. Customer provisions topics in existing STARK Kafka cluster; vendor delivers specs and consumer/producer code.</w:t>
      </w:r>
    </w:p>
    <w:p>
      <w:pPr>
        <w:pStyle w:val="Heading3"/>
      </w:pPr>
      <w:r>
        <w:rPr>
          <w:color w:val="333333"/>
        </w:rPr>
        <w:t>4.2 Inbound: PR Sources — IN SCOPE</w:t>
      </w:r>
    </w:p>
    <w:tbl>
      <w:tblPr>
        <w:tblStyle w:val="TableGrid"/>
        <w:tblW w:type="auto" w:w="0"/>
        <w:tblLook w:firstColumn="1" w:firstRow="1" w:lastColumn="0" w:lastRow="0" w:noHBand="0" w:noVBand="1" w:val="04A0"/>
      </w:tblPr>
      <w:tblGrid>
        <w:gridCol w:w="2880"/>
        <w:gridCol w:w="2880"/>
        <w:gridCol w:w="2880"/>
      </w:tblGrid>
      <w:tr>
        <w:tc>
          <w:tcPr>
            <w:tcW w:type="dxa" w:w="2880"/>
            <w:shd w:fill="333333"/>
          </w:tcPr>
          <w:p>
            <w:r>
              <w:rPr>
                <w:b/>
                <w:color w:val="FFFFFF"/>
              </w:rPr>
              <w:t>Source</w:t>
            </w:r>
          </w:p>
        </w:tc>
        <w:tc>
          <w:tcPr>
            <w:tcW w:type="dxa" w:w="2880"/>
            <w:shd w:fill="333333"/>
          </w:tcPr>
          <w:p>
            <w:r>
              <w:rPr>
                <w:b/>
                <w:color w:val="FFFFFF"/>
              </w:rPr>
              <w:t>Topic</w:t>
            </w:r>
          </w:p>
        </w:tc>
        <w:tc>
          <w:tcPr>
            <w:tcW w:type="dxa" w:w="2880"/>
            <w:shd w:fill="333333"/>
          </w:tcPr>
          <w:p>
            <w:r>
              <w:rPr>
                <w:b/>
                <w:color w:val="FFFFFF"/>
              </w:rPr>
              <w:t>Consumer</w:t>
            </w:r>
          </w:p>
        </w:tc>
      </w:tr>
      <w:tr>
        <w:tc>
          <w:tcPr>
            <w:tcW w:type="dxa" w:w="2880"/>
          </w:tcPr>
          <w:p>
            <w:r>
              <w:t>Relex</w:t>
            </w:r>
          </w:p>
        </w:tc>
        <w:tc>
          <w:tcPr>
            <w:tcW w:type="dxa" w:w="2880"/>
          </w:tcPr>
          <w:p>
            <w:r>
              <w:t>stark.procurement.inbound.prs.relex</w:t>
            </w:r>
          </w:p>
        </w:tc>
        <w:tc>
          <w:tcPr>
            <w:tcW w:type="dxa" w:w="2880"/>
          </w:tcPr>
          <w:p>
            <w:r>
              <w:t>PRRelexConsumer</w:t>
            </w:r>
          </w:p>
        </w:tc>
      </w:tr>
      <w:tr>
        <w:tc>
          <w:tcPr>
            <w:tcW w:type="dxa" w:w="2880"/>
          </w:tcPr>
          <w:p>
            <w:r>
              <w:t>ECom</w:t>
            </w:r>
          </w:p>
        </w:tc>
        <w:tc>
          <w:tcPr>
            <w:tcW w:type="dxa" w:w="2880"/>
          </w:tcPr>
          <w:p>
            <w:r>
              <w:t>stark.procurement.inbound.prs.ecom</w:t>
            </w:r>
          </w:p>
        </w:tc>
        <w:tc>
          <w:tcPr>
            <w:tcW w:type="dxa" w:w="2880"/>
          </w:tcPr>
          <w:p>
            <w:r>
              <w:t>PREComConsumer</w:t>
            </w:r>
          </w:p>
        </w:tc>
      </w:tr>
      <w:tr>
        <w:tc>
          <w:tcPr>
            <w:tcW w:type="dxa" w:w="2880"/>
          </w:tcPr>
          <w:p>
            <w:r>
              <w:t>SalesApp</w:t>
            </w:r>
          </w:p>
        </w:tc>
        <w:tc>
          <w:tcPr>
            <w:tcW w:type="dxa" w:w="2880"/>
          </w:tcPr>
          <w:p>
            <w:r>
              <w:t>stark.procurement.inbound.prs.salesapp</w:t>
            </w:r>
          </w:p>
        </w:tc>
        <w:tc>
          <w:tcPr>
            <w:tcW w:type="dxa" w:w="2880"/>
          </w:tcPr>
          <w:p>
            <w:r>
              <w:t>PRSalesAppConsumer</w:t>
            </w:r>
          </w:p>
        </w:tc>
      </w:tr>
      <w:tr>
        <w:tc>
          <w:tcPr>
            <w:tcW w:type="dxa" w:w="2880"/>
          </w:tcPr>
          <w:p>
            <w:r>
              <w:t>Aspect4</w:t>
            </w:r>
          </w:p>
        </w:tc>
        <w:tc>
          <w:tcPr>
            <w:tcW w:type="dxa" w:w="2880"/>
          </w:tcPr>
          <w:p>
            <w:r>
              <w:t>stark.procurement.inbound.pos.aspect4</w:t>
            </w:r>
          </w:p>
        </w:tc>
        <w:tc>
          <w:tcPr>
            <w:tcW w:type="dxa" w:w="2880"/>
          </w:tcPr>
          <w:p>
            <w:r>
              <w:t>POAspect4Consumer</w:t>
            </w:r>
          </w:p>
        </w:tc>
      </w:tr>
    </w:tbl>
    <w:p/>
    <w:p>
      <w:pPr>
        <w:pStyle w:val="Heading3"/>
      </w:pPr>
      <w:r>
        <w:rPr>
          <w:color w:val="333333"/>
        </w:rPr>
        <w:t>4.3 Outbound: Supplier Communication — IN SCOPE</w:t>
      </w:r>
    </w:p>
    <w:tbl>
      <w:tblPr>
        <w:tblStyle w:val="TableGrid"/>
        <w:tblW w:type="auto" w:w="0"/>
        <w:tblLook w:firstColumn="1" w:firstRow="1" w:lastColumn="0" w:lastRow="0" w:noHBand="0" w:noVBand="1" w:val="04A0"/>
      </w:tblPr>
      <w:tblGrid>
        <w:gridCol w:w="2880"/>
        <w:gridCol w:w="2880"/>
        <w:gridCol w:w="2880"/>
      </w:tblGrid>
      <w:tr>
        <w:tc>
          <w:tcPr>
            <w:tcW w:type="dxa" w:w="2880"/>
            <w:shd w:fill="333333"/>
          </w:tcPr>
          <w:p>
            <w:r>
              <w:rPr>
                <w:b/>
                <w:color w:val="FFFFFF"/>
              </w:rPr>
              <w:t>Channel</w:t>
            </w:r>
          </w:p>
        </w:tc>
        <w:tc>
          <w:tcPr>
            <w:tcW w:type="dxa" w:w="2880"/>
            <w:shd w:fill="333333"/>
          </w:tcPr>
          <w:p>
            <w:r>
              <w:rPr>
                <w:b/>
                <w:color w:val="FFFFFF"/>
              </w:rPr>
              <w:t>Topic</w:t>
            </w:r>
          </w:p>
        </w:tc>
        <w:tc>
          <w:tcPr>
            <w:tcW w:type="dxa" w:w="2880"/>
            <w:shd w:fill="333333"/>
          </w:tcPr>
          <w:p>
            <w:r>
              <w:rPr>
                <w:b/>
                <w:color w:val="FFFFFF"/>
              </w:rPr>
              <w:t>Consumer</w:t>
            </w:r>
          </w:p>
        </w:tc>
      </w:tr>
      <w:tr>
        <w:tc>
          <w:tcPr>
            <w:tcW w:type="dxa" w:w="2880"/>
          </w:tcPr>
          <w:p>
            <w:r>
              <w:t>EDI</w:t>
            </w:r>
          </w:p>
        </w:tc>
        <w:tc>
          <w:tcPr>
            <w:tcW w:type="dxa" w:w="2880"/>
          </w:tcPr>
          <w:p>
            <w:r>
              <w:t>stark.procurement.outbound.pos.edi</w:t>
            </w:r>
          </w:p>
        </w:tc>
        <w:tc>
          <w:tcPr>
            <w:tcW w:type="dxa" w:w="2880"/>
          </w:tcPr>
          <w:p>
            <w:r>
              <w:t>EDI Gateway / Stark Output</w:t>
            </w:r>
          </w:p>
        </w:tc>
      </w:tr>
      <w:tr>
        <w:tc>
          <w:tcPr>
            <w:tcW w:type="dxa" w:w="2880"/>
          </w:tcPr>
          <w:p>
            <w:r>
              <w:t>Email</w:t>
            </w:r>
          </w:p>
        </w:tc>
        <w:tc>
          <w:tcPr>
            <w:tcW w:type="dxa" w:w="2880"/>
          </w:tcPr>
          <w:p>
            <w:r>
              <w:t>stark.procurement.outbound.pos.email</w:t>
            </w:r>
          </w:p>
        </w:tc>
        <w:tc>
          <w:tcPr>
            <w:tcW w:type="dxa" w:w="2880"/>
          </w:tcPr>
          <w:p>
            <w:r>
              <w:t>Stark Output</w:t>
            </w:r>
          </w:p>
        </w:tc>
      </w:tr>
      <w:tr>
        <w:tc>
          <w:tcPr>
            <w:tcW w:type="dxa" w:w="2880"/>
          </w:tcPr>
          <w:p>
            <w:r>
              <w:t>Portal</w:t>
            </w:r>
          </w:p>
        </w:tc>
        <w:tc>
          <w:tcPr>
            <w:tcW w:type="dxa" w:w="2880"/>
          </w:tcPr>
          <w:p>
            <w:r>
              <w:t>stark.procurement.outbound.pos.portal</w:t>
            </w:r>
          </w:p>
        </w:tc>
        <w:tc>
          <w:tcPr>
            <w:tcW w:type="dxa" w:w="2880"/>
          </w:tcPr>
          <w:p>
            <w:r>
              <w:t>Supplier Portal (future)</w:t>
            </w:r>
          </w:p>
        </w:tc>
      </w:tr>
    </w:tbl>
    <w:p/>
    <w:p>
      <w:pPr>
        <w:spacing w:after="240"/>
      </w:pPr>
      <w:r>
        <w:rPr>
          <w:color w:val="666666"/>
          <w:sz w:val="16"/>
        </w:rPr>
        <w:t>────────────────────────────────────────────────────────────────────────────────</w:t>
      </w:r>
    </w:p>
    <w:p>
      <w:pPr>
        <w:pStyle w:val="Heading2"/>
      </w:pPr>
      <w:r>
        <w:rPr>
          <w:color w:val="000000"/>
        </w:rPr>
        <w:t>Explicit Exclusions</w:t>
      </w:r>
    </w:p>
    <w:p>
      <w:pPr>
        <w:pStyle w:val="Heading3"/>
      </w:pPr>
      <w:r>
        <w:rPr>
          <w:color w:val="333333"/>
        </w:rPr>
        <w:t>Will NOT Be Delivered</w:t>
      </w:r>
    </w:p>
    <w:tbl>
      <w:tblPr>
        <w:tblStyle w:val="TableGrid"/>
        <w:tblW w:type="auto" w:w="0"/>
        <w:tblLook w:firstColumn="1" w:firstRow="1" w:lastColumn="0" w:lastRow="0" w:noHBand="0" w:noVBand="1" w:val="04A0"/>
      </w:tblPr>
      <w:tblGrid>
        <w:gridCol w:w="2880"/>
        <w:gridCol w:w="2880"/>
        <w:gridCol w:w="2880"/>
      </w:tblGrid>
      <w:tr>
        <w:tc>
          <w:tcPr>
            <w:tcW w:type="dxa" w:w="2880"/>
            <w:shd w:fill="333333"/>
          </w:tcPr>
          <w:p>
            <w:r>
              <w:rPr>
                <w:b/>
                <w:color w:val="FFFFFF"/>
              </w:rPr>
              <w:t>Item</w:t>
            </w:r>
          </w:p>
        </w:tc>
        <w:tc>
          <w:tcPr>
            <w:tcW w:type="dxa" w:w="2880"/>
            <w:shd w:fill="333333"/>
          </w:tcPr>
          <w:p>
            <w:r>
              <w:rPr>
                <w:b/>
                <w:color w:val="FFFFFF"/>
              </w:rPr>
              <w:t>Reason</w:t>
            </w:r>
          </w:p>
        </w:tc>
        <w:tc>
          <w:tcPr>
            <w:tcW w:type="dxa" w:w="2880"/>
            <w:shd w:fill="333333"/>
          </w:tcPr>
          <w:p>
            <w:r>
              <w:rPr>
                <w:b/>
                <w:color w:val="FFFFFF"/>
              </w:rPr>
              <w:t>Future Phase</w:t>
            </w:r>
          </w:p>
        </w:tc>
      </w:tr>
      <w:tr>
        <w:tc>
          <w:tcPr>
            <w:tcW w:type="dxa" w:w="2880"/>
          </w:tcPr>
          <w:p>
            <w:r>
              <w:t>Stock Transfer Orders (STO)</w:t>
            </w:r>
          </w:p>
        </w:tc>
        <w:tc>
          <w:tcPr>
            <w:tcW w:type="dxa" w:w="2880"/>
          </w:tcPr>
          <w:p>
            <w:r>
              <w:t>Requires NYCE WMS</w:t>
            </w:r>
          </w:p>
        </w:tc>
        <w:tc>
          <w:tcPr>
            <w:tcW w:type="dxa" w:w="2880"/>
          </w:tcPr>
          <w:p>
            <w:r>
              <w:t>Phase 2</w:t>
            </w:r>
          </w:p>
        </w:tc>
      </w:tr>
      <w:tr>
        <w:tc>
          <w:tcPr>
            <w:tcW w:type="dxa" w:w="2880"/>
          </w:tcPr>
          <w:p>
            <w:r>
              <w:t>3-Way Invoice Match</w:t>
            </w:r>
          </w:p>
        </w:tc>
        <w:tc>
          <w:tcPr>
            <w:tcW w:type="dxa" w:w="2880"/>
          </w:tcPr>
          <w:p>
            <w:r>
              <w:t>Requires NYCE goods receipt</w:t>
            </w:r>
          </w:p>
        </w:tc>
        <w:tc>
          <w:tcPr>
            <w:tcW w:type="dxa" w:w="2880"/>
          </w:tcPr>
          <w:p>
            <w:r>
              <w:t>Phase 2</w:t>
            </w:r>
          </w:p>
        </w:tc>
      </w:tr>
      <w:tr>
        <w:tc>
          <w:tcPr>
            <w:tcW w:type="dxa" w:w="2880"/>
          </w:tcPr>
          <w:p>
            <w:r>
              <w:t>SAP Finance Integration</w:t>
            </w:r>
          </w:p>
        </w:tc>
        <w:tc>
          <w:tcPr>
            <w:tcW w:type="dxa" w:w="2880"/>
          </w:tcPr>
          <w:p>
            <w:r>
              <w:t>Requires SAP Finance live</w:t>
            </w:r>
          </w:p>
        </w:tc>
        <w:tc>
          <w:tcPr>
            <w:tcW w:type="dxa" w:w="2880"/>
          </w:tcPr>
          <w:p>
            <w:r>
              <w:t>Phase 2</w:t>
            </w:r>
          </w:p>
        </w:tc>
      </w:tr>
      <w:tr>
        <w:tc>
          <w:tcPr>
            <w:tcW w:type="dxa" w:w="2880"/>
          </w:tcPr>
          <w:p>
            <w:r>
              <w:t>Real-time SalesApp Sync</w:t>
            </w:r>
          </w:p>
        </w:tc>
        <w:tc>
          <w:tcPr>
            <w:tcW w:type="dxa" w:w="2880"/>
          </w:tcPr>
          <w:p>
            <w:r>
              <w:t>Requires OMI bidirectional</w:t>
            </w:r>
          </w:p>
        </w:tc>
        <w:tc>
          <w:tcPr>
            <w:tcW w:type="dxa" w:w="2880"/>
          </w:tcPr>
          <w:p>
            <w:r>
              <w:t>Phase 2</w:t>
            </w:r>
          </w:p>
        </w:tc>
      </w:tr>
      <w:tr>
        <w:tc>
          <w:tcPr>
            <w:tcW w:type="dxa" w:w="2880"/>
          </w:tcPr>
          <w:p>
            <w:r>
              <w:t>Supplier Portal</w:t>
            </w:r>
          </w:p>
        </w:tc>
        <w:tc>
          <w:tcPr>
            <w:tcW w:type="dxa" w:w="2880"/>
          </w:tcPr>
          <w:p>
            <w:r>
              <w:t>Enhancement, not MVP</w:t>
            </w:r>
          </w:p>
        </w:tc>
        <w:tc>
          <w:tcPr>
            <w:tcW w:type="dxa" w:w="2880"/>
          </w:tcPr>
          <w:p>
            <w:r>
              <w:t>Phase 3</w:t>
            </w:r>
          </w:p>
        </w:tc>
      </w:tr>
      <w:tr>
        <w:tc>
          <w:tcPr>
            <w:tcW w:type="dxa" w:w="2880"/>
          </w:tcPr>
          <w:p>
            <w:r>
              <w:t>AI Email Parsing</w:t>
            </w:r>
          </w:p>
        </w:tc>
        <w:tc>
          <w:tcPr>
            <w:tcW w:type="dxa" w:w="2880"/>
          </w:tcPr>
          <w:p>
            <w:r>
              <w:t>Enhancement, not MVP</w:t>
            </w:r>
          </w:p>
        </w:tc>
        <w:tc>
          <w:tcPr>
            <w:tcW w:type="dxa" w:w="2880"/>
          </w:tcPr>
          <w:p>
            <w:r>
              <w:t>Phase 3</w:t>
            </w:r>
          </w:p>
        </w:tc>
      </w:tr>
      <w:tr>
        <w:tc>
          <w:tcPr>
            <w:tcW w:type="dxa" w:w="2880"/>
          </w:tcPr>
          <w:p>
            <w:r>
              <w:t>Contract Management</w:t>
            </w:r>
          </w:p>
        </w:tc>
        <w:tc>
          <w:tcPr>
            <w:tcW w:type="dxa" w:w="2880"/>
          </w:tcPr>
          <w:p>
            <w:r>
              <w:t>Requires Icertis</w:t>
            </w:r>
          </w:p>
        </w:tc>
        <w:tc>
          <w:tcPr>
            <w:tcW w:type="dxa" w:w="2880"/>
          </w:tcPr>
          <w:p>
            <w:r>
              <w:t>Phase 3</w:t>
            </w:r>
          </w:p>
        </w:tc>
      </w:tr>
      <w:tr>
        <w:tc>
          <w:tcPr>
            <w:tcW w:type="dxa" w:w="2880"/>
          </w:tcPr>
          <w:p>
            <w:r>
              <w:t>Mobile Native App</w:t>
            </w:r>
          </w:p>
        </w:tc>
        <w:tc>
          <w:tcPr>
            <w:tcW w:type="dxa" w:w="2880"/>
          </w:tcPr>
          <w:p>
            <w:r>
              <w:t>Enhancement, not MVP</w:t>
            </w:r>
          </w:p>
        </w:tc>
        <w:tc>
          <w:tcPr>
            <w:tcW w:type="dxa" w:w="2880"/>
          </w:tcPr>
          <w:p>
            <w:r>
              <w:t>Phase 3</w:t>
            </w:r>
          </w:p>
        </w:tc>
      </w:tr>
      <w:tr>
        <w:tc>
          <w:tcPr>
            <w:tcW w:type="dxa" w:w="2880"/>
          </w:tcPr>
          <w:p>
            <w:r>
              <w:t>Multi-language UI</w:t>
            </w:r>
          </w:p>
        </w:tc>
        <w:tc>
          <w:tcPr>
            <w:tcW w:type="dxa" w:w="2880"/>
          </w:tcPr>
          <w:p>
            <w:r>
              <w:t>Enhancement, not MVP</w:t>
            </w:r>
          </w:p>
        </w:tc>
        <w:tc>
          <w:tcPr>
            <w:tcW w:type="dxa" w:w="2880"/>
          </w:tcPr>
          <w:p>
            <w:r>
              <w:t>Phase 3</w:t>
            </w:r>
          </w:p>
        </w:tc>
      </w:tr>
      <w:tr>
        <w:tc>
          <w:tcPr>
            <w:tcW w:type="dxa" w:w="2880"/>
          </w:tcPr>
          <w:p>
            <w:r>
              <w:t>Advanced Analytics/BI</w:t>
            </w:r>
          </w:p>
        </w:tc>
        <w:tc>
          <w:tcPr>
            <w:tcW w:type="dxa" w:w="2880"/>
          </w:tcPr>
          <w:p>
            <w:r>
              <w:t>Different project</w:t>
            </w:r>
          </w:p>
        </w:tc>
        <w:tc>
          <w:tcPr>
            <w:tcW w:type="dxa" w:w="2880"/>
          </w:tcPr>
          <w:p>
            <w:r>
              <w:t>Never (BI team)</w:t>
            </w:r>
          </w:p>
        </w:tc>
      </w:tr>
    </w:tbl>
    <w:p/>
    <w:p>
      <w:pPr>
        <w:pStyle w:val="Heading3"/>
      </w:pPr>
      <w:r>
        <w:rPr>
          <w:color w:val="333333"/>
        </w:rPr>
        <w:t>Dependencies We Assume Are Ready</w:t>
      </w:r>
    </w:p>
    <w:p>
      <w:pPr>
        <w:spacing w:after="120"/>
      </w:pPr>
      <w:r>
        <w:rPr>
          <w:b/>
        </w:rPr>
        <w:t xml:space="preserve">Relex PR feed: </w:t>
      </w:r>
      <w:r>
        <w:t>READY — Automated replenishment</w:t>
      </w:r>
    </w:p>
    <w:p>
      <w:pPr>
        <w:spacing w:after="120"/>
      </w:pPr>
      <w:r>
        <w:rPr>
          <w:b/>
        </w:rPr>
        <w:t xml:space="preserve">ECom PR feed: </w:t>
      </w:r>
      <w:r>
        <w:t>READY — Drop-shipment PRs</w:t>
      </w:r>
    </w:p>
    <w:p>
      <w:pPr>
        <w:spacing w:after="120"/>
      </w:pPr>
      <w:r>
        <w:rPr>
          <w:b/>
        </w:rPr>
        <w:t xml:space="preserve">Stark Output (EDI/Email): </w:t>
      </w:r>
      <w:r>
        <w:t>READY — Cannot send POs to suppliers without this</w:t>
      </w:r>
    </w:p>
    <w:p>
      <w:pPr>
        <w:spacing w:after="120"/>
      </w:pPr>
      <w:r>
        <w:rPr>
          <w:b/>
        </w:rPr>
        <w:t xml:space="preserve">SSO/IAM: </w:t>
      </w:r>
      <w:r>
        <w:t>READY — No user authentication without this</w:t>
      </w:r>
    </w:p>
    <w:p>
      <w:pPr>
        <w:spacing w:after="120"/>
      </w:pPr>
      <w:r>
        <w:rPr>
          <w:b/>
        </w:rPr>
        <w:t xml:space="preserve">Supplier Master Data: </w:t>
      </w:r>
      <w:r>
        <w:t>READY — Via MDM</w:t>
      </w:r>
    </w:p>
    <w:p>
      <w:pPr>
        <w:spacing w:after="240"/>
      </w:pPr>
      <w:r>
        <w:rPr>
          <w:color w:val="666666"/>
          <w:sz w:val="16"/>
        </w:rPr>
        <w:t>────────────────────────────────────────────────────────────────────────────────</w:t>
      </w:r>
    </w:p>
    <w:p>
      <w:pPr>
        <w:pStyle w:val="Heading2"/>
      </w:pPr>
      <w:r>
        <w:rPr>
          <w:color w:val="000000"/>
        </w:rPr>
        <w:t>Acceptance Criteria Summary</w:t>
      </w:r>
    </w:p>
    <w:p>
      <w:pPr>
        <w:pStyle w:val="Heading3"/>
      </w:pPr>
      <w:r>
        <w:rPr>
          <w:color w:val="333333"/>
        </w:rPr>
        <w:t>Definition of Done (Per Screen)</w:t>
      </w:r>
    </w:p>
    <w:p>
      <w:pPr>
        <w:spacing w:after="40"/>
      </w:pPr>
      <w:r>
        <w:t>☐ Renders correctly on desktop (1280px+)</w:t>
      </w:r>
    </w:p>
    <w:p>
      <w:pPr>
        <w:spacing w:after="40"/>
      </w:pPr>
      <w:r>
        <w:t>☐ Renders correctly on tablet (768px+)</w:t>
      </w:r>
    </w:p>
    <w:p>
      <w:pPr>
        <w:spacing w:after="40"/>
      </w:pPr>
      <w:r>
        <w:t>☐ All data loads from backend API</w:t>
      </w:r>
    </w:p>
    <w:p>
      <w:pPr>
        <w:spacing w:after="40"/>
      </w:pPr>
      <w:r>
        <w:t>☐ Loading states shown during fetch</w:t>
      </w:r>
    </w:p>
    <w:p>
      <w:pPr>
        <w:spacing w:after="40"/>
      </w:pPr>
      <w:r>
        <w:t>☐ Error states handled gracefully</w:t>
      </w:r>
    </w:p>
    <w:p>
      <w:pPr>
        <w:spacing w:after="40"/>
      </w:pPr>
      <w:r>
        <w:t>☐ Empty states designed and implemented</w:t>
      </w:r>
    </w:p>
    <w:p>
      <w:pPr>
        <w:spacing w:after="40"/>
      </w:pPr>
      <w:r>
        <w:t>☐ Keyboard navigation works</w:t>
      </w:r>
    </w:p>
    <w:p>
      <w:pPr>
        <w:spacing w:after="40"/>
      </w:pPr>
      <w:r>
        <w:t>☐ Meets WCAG 2.1 AA (basic)</w:t>
      </w:r>
    </w:p>
    <w:p>
      <w:pPr>
        <w:spacing w:after="40"/>
      </w:pPr>
      <w:r>
        <w:t>☐ No console errors</w:t>
      </w:r>
    </w:p>
    <w:p>
      <w:pPr>
        <w:spacing w:after="40"/>
      </w:pPr>
      <w:r>
        <w:t>☐ Passes TypeScript strict mode</w:t>
      </w:r>
    </w:p>
    <w:p>
      <w:pPr>
        <w:pStyle w:val="Heading3"/>
      </w:pPr>
      <w:r>
        <w:rPr>
          <w:color w:val="333333"/>
        </w:rPr>
        <w:t>Definition of Done (Per Integration)</w:t>
      </w:r>
    </w:p>
    <w:p>
      <w:pPr>
        <w:spacing w:after="40"/>
      </w:pPr>
      <w:r>
        <w:t>☐ API endpoint documented (OpenAPI)</w:t>
      </w:r>
    </w:p>
    <w:p>
      <w:pPr>
        <w:spacing w:after="40"/>
      </w:pPr>
      <w:r>
        <w:t>☐ Request validation implemented</w:t>
      </w:r>
    </w:p>
    <w:p>
      <w:pPr>
        <w:spacing w:after="40"/>
      </w:pPr>
      <w:r>
        <w:t>☐ Error responses follow standard format</w:t>
      </w:r>
    </w:p>
    <w:p>
      <w:pPr>
        <w:spacing w:after="40"/>
      </w:pPr>
      <w:r>
        <w:t>☐ Rate limiting configured</w:t>
      </w:r>
    </w:p>
    <w:p>
      <w:pPr>
        <w:spacing w:after="40"/>
      </w:pPr>
      <w:r>
        <w:t>☐ Authentication required</w:t>
      </w:r>
    </w:p>
    <w:p>
      <w:pPr>
        <w:spacing w:after="40"/>
      </w:pPr>
      <w:r>
        <w:t>☐ Audit logging enabled</w:t>
      </w:r>
    </w:p>
    <w:p>
      <w:pPr>
        <w:spacing w:after="40"/>
      </w:pPr>
      <w:r>
        <w:t>☐ Health check includes dependency</w:t>
      </w:r>
    </w:p>
    <w:p>
      <w:pPr>
        <w:spacing w:after="40"/>
      </w:pPr>
      <w:r>
        <w:t>☐ Retry logic for transient failures</w:t>
      </w:r>
    </w:p>
    <w:p>
      <w:pPr>
        <w:spacing w:after="240"/>
      </w:pPr>
      <w:r>
        <w:rPr>
          <w:color w:val="666666"/>
          <w:sz w:val="16"/>
        </w:rPr>
        <w:t>────────────────────────────────────────────────────────────────────────────────</w:t>
      </w:r>
    </w:p>
    <w:p>
      <w:pPr>
        <w:pStyle w:val="Heading2"/>
      </w:pPr>
      <w:r>
        <w:rPr>
          <w:color w:val="000000"/>
        </w:rPr>
        <w:t>Sign-Off Checklist</w:t>
      </w:r>
    </w:p>
    <w:p>
      <w:pPr>
        <w:spacing w:after="240"/>
      </w:pPr>
      <w:r>
        <w:t>Before final delivery, both parties confirm:</w:t>
      </w:r>
    </w:p>
    <w:tbl>
      <w:tblPr>
        <w:tblStyle w:val="TableGrid"/>
        <w:tblW w:type="auto" w:w="0"/>
        <w:tblLook w:firstColumn="1" w:firstRow="1" w:lastColumn="0" w:lastRow="0" w:noHBand="0" w:noVBand="1" w:val="04A0"/>
      </w:tblPr>
      <w:tblGrid>
        <w:gridCol w:w="2880"/>
        <w:gridCol w:w="2880"/>
        <w:gridCol w:w="2880"/>
      </w:tblGrid>
      <w:tr>
        <w:tc>
          <w:tcPr>
            <w:tcW w:type="dxa" w:w="2880"/>
            <w:shd w:fill="333333"/>
          </w:tcPr>
          <w:p>
            <w:r>
              <w:rPr>
                <w:b/>
                <w:color w:val="FFFFFF"/>
              </w:rPr>
              <w:t>Item</w:t>
            </w:r>
          </w:p>
        </w:tc>
        <w:tc>
          <w:tcPr>
            <w:tcW w:type="dxa" w:w="2880"/>
            <w:shd w:fill="333333"/>
          </w:tcPr>
          <w:p>
            <w:r>
              <w:rPr>
                <w:b/>
                <w:color w:val="FFFFFF"/>
              </w:rPr>
              <w:t>Vendor</w:t>
            </w:r>
          </w:p>
        </w:tc>
        <w:tc>
          <w:tcPr>
            <w:tcW w:type="dxa" w:w="2880"/>
            <w:shd w:fill="333333"/>
          </w:tcPr>
          <w:p>
            <w:r>
              <w:rPr>
                <w:b/>
                <w:color w:val="FFFFFF"/>
              </w:rPr>
              <w:t>STARK</w:t>
            </w:r>
          </w:p>
        </w:tc>
      </w:tr>
      <w:tr>
        <w:tc>
          <w:tcPr>
            <w:tcW w:type="dxa" w:w="2880"/>
          </w:tcPr>
          <w:p>
            <w:r>
              <w:t>All IN SCOPE items delivered</w:t>
            </w:r>
          </w:p>
        </w:tc>
        <w:tc>
          <w:tcPr>
            <w:tcW w:type="dxa" w:w="2880"/>
          </w:tcPr>
          <w:p>
            <w:r>
              <w:t>☐</w:t>
            </w:r>
          </w:p>
        </w:tc>
        <w:tc>
          <w:tcPr>
            <w:tcW w:type="dxa" w:w="2880"/>
          </w:tcPr>
          <w:p>
            <w:r>
              <w:t>☐</w:t>
            </w:r>
          </w:p>
        </w:tc>
      </w:tr>
      <w:tr>
        <w:tc>
          <w:tcPr>
            <w:tcW w:type="dxa" w:w="2880"/>
          </w:tcPr>
          <w:p>
            <w:r>
              <w:t>All BOUNDARY interfaces documented</w:t>
            </w:r>
          </w:p>
        </w:tc>
        <w:tc>
          <w:tcPr>
            <w:tcW w:type="dxa" w:w="2880"/>
          </w:tcPr>
          <w:p>
            <w:r>
              <w:t>☐</w:t>
            </w:r>
          </w:p>
        </w:tc>
        <w:tc>
          <w:tcPr>
            <w:tcW w:type="dxa" w:w="2880"/>
          </w:tcPr>
          <w:p>
            <w:r>
              <w:t>☐</w:t>
            </w:r>
          </w:p>
        </w:tc>
      </w:tr>
      <w:tr>
        <w:tc>
          <w:tcPr>
            <w:tcW w:type="dxa" w:w="2880"/>
          </w:tcPr>
          <w:p>
            <w:r>
              <w:t>All OUT OF SCOPE items acknowledged</w:t>
            </w:r>
          </w:p>
        </w:tc>
        <w:tc>
          <w:tcPr>
            <w:tcW w:type="dxa" w:w="2880"/>
          </w:tcPr>
          <w:p>
            <w:r>
              <w:t>☐</w:t>
            </w:r>
          </w:p>
        </w:tc>
        <w:tc>
          <w:tcPr>
            <w:tcW w:type="dxa" w:w="2880"/>
          </w:tcPr>
          <w:p>
            <w:r>
              <w:t>☐</w:t>
            </w:r>
          </w:p>
        </w:tc>
      </w:tr>
      <w:tr>
        <w:tc>
          <w:tcPr>
            <w:tcW w:type="dxa" w:w="2880"/>
          </w:tcPr>
          <w:p>
            <w:r>
              <w:t>All exclusions agreed</w:t>
            </w:r>
          </w:p>
        </w:tc>
        <w:tc>
          <w:tcPr>
            <w:tcW w:type="dxa" w:w="2880"/>
          </w:tcPr>
          <w:p>
            <w:r>
              <w:t>☐</w:t>
            </w:r>
          </w:p>
        </w:tc>
        <w:tc>
          <w:tcPr>
            <w:tcW w:type="dxa" w:w="2880"/>
          </w:tcPr>
          <w:p>
            <w:r>
              <w:t>☐</w:t>
            </w:r>
          </w:p>
        </w:tc>
      </w:tr>
      <w:tr>
        <w:tc>
          <w:tcPr>
            <w:tcW w:type="dxa" w:w="2880"/>
          </w:tcPr>
          <w:p>
            <w:r>
              <w:t>Acceptance criteria met</w:t>
            </w:r>
          </w:p>
        </w:tc>
        <w:tc>
          <w:tcPr>
            <w:tcW w:type="dxa" w:w="2880"/>
          </w:tcPr>
          <w:p>
            <w:r>
              <w:t>☐</w:t>
            </w:r>
          </w:p>
        </w:tc>
        <w:tc>
          <w:tcPr>
            <w:tcW w:type="dxa" w:w="2880"/>
          </w:tcPr>
          <w:p>
            <w:r>
              <w:t>☐</w:t>
            </w:r>
          </w:p>
        </w:tc>
      </w:tr>
      <w:tr>
        <w:tc>
          <w:tcPr>
            <w:tcW w:type="dxa" w:w="2880"/>
          </w:tcPr>
          <w:p>
            <w:r>
              <w:t>Source code transferred</w:t>
            </w:r>
          </w:p>
        </w:tc>
        <w:tc>
          <w:tcPr>
            <w:tcW w:type="dxa" w:w="2880"/>
          </w:tcPr>
          <w:p>
            <w:r>
              <w:t>☐</w:t>
            </w:r>
          </w:p>
        </w:tc>
        <w:tc>
          <w:tcPr>
            <w:tcW w:type="dxa" w:w="2880"/>
          </w:tcPr>
          <w:p>
            <w:r>
              <w:t>☐</w:t>
            </w:r>
          </w:p>
        </w:tc>
      </w:tr>
      <w:tr>
        <w:tc>
          <w:tcPr>
            <w:tcW w:type="dxa" w:w="2880"/>
          </w:tcPr>
          <w:p>
            <w:r>
              <w:t>Documentation complete</w:t>
            </w:r>
          </w:p>
        </w:tc>
        <w:tc>
          <w:tcPr>
            <w:tcW w:type="dxa" w:w="2880"/>
          </w:tcPr>
          <w:p>
            <w:r>
              <w:t>☐</w:t>
            </w:r>
          </w:p>
        </w:tc>
        <w:tc>
          <w:tcPr>
            <w:tcW w:type="dxa" w:w="2880"/>
          </w:tcPr>
          <w:p>
            <w:r>
              <w:t>☐</w:t>
            </w:r>
          </w:p>
        </w:tc>
      </w:tr>
      <w:tr>
        <w:tc>
          <w:tcPr>
            <w:tcW w:type="dxa" w:w="2880"/>
          </w:tcPr>
          <w:p>
            <w:r>
              <w:t>Training delivered</w:t>
            </w:r>
          </w:p>
        </w:tc>
        <w:tc>
          <w:tcPr>
            <w:tcW w:type="dxa" w:w="2880"/>
          </w:tcPr>
          <w:p>
            <w:r>
              <w:t>☐</w:t>
            </w:r>
          </w:p>
        </w:tc>
        <w:tc>
          <w:tcPr>
            <w:tcW w:type="dxa" w:w="2880"/>
          </w:tcPr>
          <w:p>
            <w:r>
              <w:t>☐</w:t>
            </w:r>
          </w:p>
        </w:tc>
      </w:tr>
    </w:tbl>
    <w:p/>
    <w:p/>
    <w:p>
      <w:pPr>
        <w:jc w:val="center"/>
      </w:pPr>
      <w:r>
        <w:rPr>
          <w:i/>
          <w:color w:val="666666"/>
        </w:rPr>
        <w:t>— End of Scope Definition —</w:t>
      </w:r>
    </w:p>
    <w:p/>
    <w:p>
      <w:pPr>
        <w:jc w:val="center"/>
      </w:pPr>
      <w:r>
        <w:rPr>
          <w:color w:val="666666"/>
          <w:sz w:val="20"/>
        </w:rPr>
        <w:t>Prepared by Agentic Agency</w:t>
      </w:r>
    </w:p>
    <w:p>
      <w:pPr>
        <w:jc w:val="center"/>
      </w:pPr>
      <w:r>
        <w:rPr>
          <w:i/>
          <w:color w:val="666666"/>
          <w:sz w:val="20"/>
        </w:rPr>
        <w:t>Engineering &gt; Prompting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