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000000"/>
          <w:sz w:val="84"/>
        </w:rPr>
        <w:t>STARK PROCUREMENT</w:t>
      </w:r>
    </w:p>
    <w:p>
      <w:pPr>
        <w:spacing w:before="160"/>
        <w:jc w:val="center"/>
      </w:pPr>
      <w:r>
        <w:rPr>
          <w:rFonts w:ascii="Arial" w:hAnsi="Arial"/>
          <w:color w:val="666666"/>
          <w:sz w:val="36"/>
        </w:rPr>
        <w:t>Scope Definition</w:t>
      </w:r>
    </w:p>
    <w:p/>
    <w:p>
      <w:pPr>
        <w:jc w:val="center"/>
      </w:pPr>
      <w:r>
        <w:rPr>
          <w:rFonts w:ascii="Arial" w:hAnsi="Arial"/>
          <w:color w:val="999999"/>
          <w:sz w:val="24"/>
        </w:rPr>
        <w:t>Prepared for Kim Christensen</w:t>
      </w:r>
    </w:p>
    <w:p>
      <w:pPr>
        <w:jc w:val="center"/>
      </w:pPr>
      <w:r>
        <w:rPr>
          <w:rFonts w:ascii="Arial" w:hAnsi="Arial"/>
          <w:color w:val="999999"/>
          <w:sz w:val="24"/>
        </w:rPr>
        <w:t>March 2026</w:t>
      </w:r>
    </w:p>
    <w:p/>
    <w:p/>
    <w:p/>
    <w:p/>
    <w:p/>
    <w:p/>
    <w:p/>
    <w:p/>
    <w:p>
      <w:pPr>
        <w:jc w:val="center"/>
      </w:pPr>
      <w:r>
        <w:rPr>
          <w:rFonts w:ascii="Arial" w:hAnsi="Arial"/>
          <w:color w:val="666666"/>
          <w:sz w:val="22"/>
        </w:rPr>
        <w:t>Agentic Agency</w:t>
      </w:r>
    </w:p>
    <w:p>
      <w:pPr>
        <w:jc w:val="center"/>
      </w:pPr>
      <w:r>
        <w:rPr>
          <w:rFonts w:ascii="Arial" w:hAnsi="Arial"/>
          <w:i/>
          <w:color w:val="999999"/>
          <w:sz w:val="20"/>
        </w:rPr>
        <w:t>Engineering &gt; Prompting</w:t>
      </w:r>
    </w:p>
    <w:p>
      <w:r>
        <w:br w:type="page"/>
      </w:r>
    </w:p>
    <w:p>
      <w:pPr>
        <w:spacing w:before="480" w:after="80"/>
      </w:pPr>
      <w:r>
        <w:rPr>
          <w:rFonts w:ascii="Arial" w:hAnsi="Arial"/>
          <w:b/>
          <w:color w:val="666666"/>
          <w:sz w:val="18"/>
        </w:rPr>
        <w:t>OUR APPROACH</w:t>
      </w:r>
    </w:p>
    <w:p>
      <w:pPr>
        <w:pStyle w:val="Heading1"/>
        <w:spacing w:before="0" w:after="240"/>
      </w:pPr>
      <w:r>
        <w:rPr>
          <w:rFonts w:ascii="Arial" w:hAnsi="Arial"/>
          <w:color w:val="000000"/>
          <w:sz w:val="52"/>
        </w:rPr>
        <w:t>Agentic Engineering</w:t>
      </w:r>
    </w:p>
    <w:p>
      <w:pPr>
        <w:spacing w:after="280" w:line="288" w:lineRule="auto"/>
      </w:pPr>
      <w:r>
        <w:rPr>
          <w:rFonts w:ascii="Arial" w:hAnsi="Arial"/>
          <w:color w:val="333333"/>
          <w:sz w:val="24"/>
        </w:rPr>
        <w:t>This is not AI-assisted development. This is not an engineer with a chatbot. This is something fundamentally different.</w:t>
      </w:r>
    </w:p>
    <w:p>
      <w:pPr>
        <w:spacing w:after="160" w:line="276" w:lineRule="auto"/>
      </w:pPr>
      <w:r>
        <w:rPr>
          <w:rFonts w:ascii="Arial" w:hAnsi="Arial"/>
          <w:color w:val="000000"/>
          <w:sz w:val="22"/>
        </w:rPr>
        <w:t>Agentic Engineering inverts the relationship between human and machine. AI agents autonomously execute engineering tasks—writing code, running tests, debugging failures, documenting decisions—while humans provide direction, constraints, and quality review.</w:t>
      </w:r>
    </w:p>
    <w:p>
      <w:pPr>
        <w:spacing w:before="360" w:after="360"/>
        <w:ind w:left="720" w:right="720"/>
        <w:pBdr>
          <w:left w:val="single" w:sz="24" w:space="12" w:color="000000"/>
        </w:pBdr>
      </w:pPr>
      <w:r>
        <w:rPr>
          <w:i/>
          <w:color w:val="333333"/>
          <w:sz w:val="26"/>
        </w:rPr>
        <w:t>Agents do the work. Humans set the direction.</w:t>
      </w:r>
    </w:p>
    <w:p>
      <w:pPr>
        <w:spacing w:after="160" w:line="276" w:lineRule="auto"/>
      </w:pPr>
      <w:r>
        <w:rPr>
          <w:rFonts w:ascii="Arial" w:hAnsi="Arial"/>
          <w:color w:val="000000"/>
          <w:sz w:val="22"/>
        </w:rPr>
        <w:t>The result: production-grade software delivered in compressed timelines. Not prototypes. Not demos. Working systems with proper architecture, comprehensive testing, and maintainable code.</w:t>
      </w:r>
    </w:p>
    <w:p>
      <w:pPr>
        <w:spacing w:before="480" w:after="480"/>
        <w:pBdr>
          <w:bottom w:val="single" w:sz="4" w:space="1" w:color="CCCCCC"/>
        </w:pBdr>
      </w:pPr>
    </w:p>
    <w:p>
      <w:pPr>
        <w:spacing w:before="480" w:after="80"/>
      </w:pPr>
      <w:r>
        <w:rPr>
          <w:rFonts w:ascii="Arial" w:hAnsi="Arial"/>
          <w:b/>
          <w:color w:val="666666"/>
          <w:sz w:val="18"/>
        </w:rPr>
        <w:t>CONTEXT</w:t>
      </w:r>
    </w:p>
    <w:p>
      <w:pPr>
        <w:pStyle w:val="Heading1"/>
        <w:spacing w:before="0" w:after="240"/>
      </w:pPr>
      <w:r>
        <w:rPr>
          <w:rFonts w:ascii="Arial" w:hAnsi="Arial"/>
          <w:color w:val="000000"/>
          <w:sz w:val="52"/>
        </w:rPr>
        <w:t>The Landscape</w:t>
      </w:r>
    </w:p>
    <w:p>
      <w:pPr>
        <w:spacing w:after="280" w:line="288" w:lineRule="auto"/>
      </w:pPr>
      <w:r>
        <w:rPr>
          <w:rFonts w:ascii="Arial" w:hAnsi="Arial"/>
          <w:color w:val="333333"/>
          <w:sz w:val="24"/>
        </w:rPr>
        <w:t>Software delivery approaches sit on a spectrum. Understanding where each falls—and where Agentic Engineering differs—clarifies what we offer.</w:t>
      </w:r>
    </w:p>
    <w:p>
      <w:pPr>
        <w:pStyle w:val="Heading2"/>
        <w:spacing w:before="360" w:after="160"/>
      </w:pPr>
      <w:r>
        <w:rPr>
          <w:rFonts w:ascii="Arial" w:hAnsi="Arial"/>
          <w:color w:val="000000"/>
          <w:sz w:val="32"/>
        </w:rPr>
        <w:t>Low-Code Platforms</w:t>
      </w:r>
    </w:p>
    <w:p>
      <w:pPr>
        <w:spacing w:after="160" w:line="276" w:lineRule="auto"/>
      </w:pPr>
      <w:r>
        <w:rPr>
          <w:rFonts w:ascii="Arial" w:hAnsi="Arial"/>
          <w:color w:val="000000"/>
          <w:sz w:val="22"/>
        </w:rPr>
        <w:t>Visual, drag-and-drop interfaces that abstract away code. Fast for standardized applications. Limited for anything beyond the template. Vendor lock-in. Ongoing licensing. Hidden complexity that surfaces at scale.</w:t>
      </w:r>
    </w:p>
    <w:p>
      <w:pPr>
        <w:pStyle w:val="Heading2"/>
        <w:spacing w:before="360" w:after="160"/>
      </w:pPr>
      <w:r>
        <w:rPr>
          <w:rFonts w:ascii="Arial" w:hAnsi="Arial"/>
          <w:color w:val="000000"/>
          <w:sz w:val="32"/>
        </w:rPr>
        <w:t>Vibecoding</w:t>
      </w:r>
    </w:p>
    <w:p>
      <w:pPr>
        <w:spacing w:after="160" w:line="276" w:lineRule="auto"/>
      </w:pPr>
      <w:r>
        <w:rPr>
          <w:rFonts w:ascii="Arial" w:hAnsi="Arial"/>
          <w:color w:val="000000"/>
          <w:sz w:val="22"/>
        </w:rPr>
        <w:t>Prompt-driven code generation without engineering judgment. The developer "vibes" with AI, accepting output with minimal review. Fast initial results. Inconsistent quality. Security vulnerabilities. Technical debt that compounds. Produces artifacts, not systems.</w:t>
      </w:r>
    </w:p>
    <w:p>
      <w:pPr>
        <w:pStyle w:val="Heading2"/>
        <w:spacing w:before="360" w:after="160"/>
      </w:pPr>
      <w:r>
        <w:rPr>
          <w:rFonts w:ascii="Arial" w:hAnsi="Arial"/>
          <w:color w:val="000000"/>
          <w:sz w:val="32"/>
        </w:rPr>
        <w:t>Traditional Development</w:t>
      </w:r>
    </w:p>
    <w:p>
      <w:pPr>
        <w:spacing w:after="160" w:line="276" w:lineRule="auto"/>
      </w:pPr>
      <w:r>
        <w:rPr>
          <w:rFonts w:ascii="Arial" w:hAnsi="Arial"/>
          <w:color w:val="000000"/>
          <w:sz w:val="22"/>
        </w:rPr>
        <w:t>Skilled engineers, established methodologies, deliberate architecture. High quality when done well. Time-intensive. Expensive. Dependent on scarce talent. Often burdened by process overhead.</w:t>
      </w:r>
    </w:p>
    <w:p>
      <w:pPr>
        <w:pStyle w:val="Heading2"/>
        <w:spacing w:before="360" w:after="160"/>
      </w:pPr>
      <w:r>
        <w:rPr>
          <w:rFonts w:ascii="Arial" w:hAnsi="Arial"/>
          <w:color w:val="000000"/>
          <w:sz w:val="32"/>
        </w:rPr>
        <w:t>Agentic Engineering</w:t>
      </w:r>
    </w:p>
    <w:p>
      <w:pPr>
        <w:spacing w:after="160" w:line="276" w:lineRule="auto"/>
      </w:pPr>
      <w:r>
        <w:rPr>
          <w:rFonts w:ascii="Arial" w:hAnsi="Arial"/>
          <w:color w:val="000000"/>
          <w:sz w:val="22"/>
        </w:rPr>
        <w:t>AI agents execute autonomously within boundaries set by experienced engineers. Human judgment shapes every deliverable. Agents work in parallel, around the clock, with full persistence of context across sessions. Quality enforced through test-gated tasks—not hoped for, but guaranteed.</w:t>
      </w:r>
    </w:p>
    <w:p>
      <w:pPr>
        <w:spacing w:before="480" w:after="480"/>
        <w:pBdr>
          <w:bottom w:val="single" w:sz="4" w:space="1" w:color="CCCCCC"/>
        </w:pBdr>
      </w:pPr>
    </w:p>
    <w:p>
      <w:pPr>
        <w:spacing w:before="480" w:after="80"/>
      </w:pPr>
      <w:r>
        <w:rPr>
          <w:rFonts w:ascii="Arial" w:hAnsi="Arial"/>
          <w:b/>
          <w:color w:val="666666"/>
          <w:sz w:val="18"/>
        </w:rPr>
        <w:t>METHODOLOGY</w:t>
      </w:r>
    </w:p>
    <w:p>
      <w:pPr>
        <w:pStyle w:val="Heading1"/>
        <w:spacing w:before="0" w:after="240"/>
      </w:pPr>
      <w:r>
        <w:rPr>
          <w:rFonts w:ascii="Arial" w:hAnsi="Arial"/>
          <w:color w:val="000000"/>
          <w:sz w:val="52"/>
        </w:rPr>
        <w:t>ADAPT</w:t>
      </w:r>
    </w:p>
    <w:p>
      <w:pPr>
        <w:spacing w:after="280" w:line="288" w:lineRule="auto"/>
      </w:pPr>
      <w:r>
        <w:rPr>
          <w:rFonts w:ascii="Arial" w:hAnsi="Arial"/>
          <w:color w:val="333333"/>
          <w:sz w:val="24"/>
        </w:rPr>
        <w:t>Agentic Development with Artifact Persistence &amp; Testing. Our methodology for delivering engineered systems at speed.</w:t>
      </w:r>
    </w:p>
    <w:p>
      <w:pPr>
        <w:pStyle w:val="ListBullet"/>
        <w:spacing w:after="80"/>
        <w:ind w:left="360"/>
      </w:pPr>
      <w:r/>
      <w:r>
        <w:rPr>
          <w:rFonts w:ascii="Arial" w:hAnsi="Arial"/>
          <w:b/>
          <w:sz w:val="22"/>
        </w:rPr>
        <w:t xml:space="preserve">Agentic: </w:t>
      </w:r>
      <w:r>
        <w:rPr>
          <w:rFonts w:ascii="Arial" w:hAnsi="Arial"/>
          <w:sz w:val="22"/>
        </w:rPr>
        <w:t>AI agents work autonomously on well-defined tasks. Human engineers set direction, review output, make architectural decisions.</w:t>
      </w:r>
    </w:p>
    <w:p>
      <w:pPr>
        <w:pStyle w:val="ListBullet"/>
        <w:spacing w:after="80"/>
        <w:ind w:left="360"/>
      </w:pPr>
      <w:r/>
      <w:r>
        <w:rPr>
          <w:rFonts w:ascii="Arial" w:hAnsi="Arial"/>
          <w:b/>
          <w:sz w:val="22"/>
        </w:rPr>
        <w:t xml:space="preserve">Development: </w:t>
      </w:r>
      <w:r>
        <w:rPr>
          <w:rFonts w:ascii="Arial" w:hAnsi="Arial"/>
          <w:sz w:val="22"/>
        </w:rPr>
        <w:t>Real engineering—production-grade code with proper error handling, type safety, and maintainability.</w:t>
      </w:r>
    </w:p>
    <w:p>
      <w:pPr>
        <w:pStyle w:val="ListBullet"/>
        <w:spacing w:after="80"/>
        <w:ind w:left="360"/>
      </w:pPr>
      <w:r/>
      <w:r>
        <w:rPr>
          <w:rFonts w:ascii="Arial" w:hAnsi="Arial"/>
          <w:b/>
          <w:sz w:val="22"/>
        </w:rPr>
        <w:t xml:space="preserve">Artifact: </w:t>
      </w:r>
      <w:r>
        <w:rPr>
          <w:rFonts w:ascii="Arial" w:hAnsi="Arial"/>
          <w:sz w:val="22"/>
        </w:rPr>
        <w:t>Every decision, lesson, and context persisted in structured knowledge stores. Nothing lost between sessions.</w:t>
      </w:r>
    </w:p>
    <w:p>
      <w:pPr>
        <w:pStyle w:val="ListBullet"/>
        <w:spacing w:after="80"/>
        <w:ind w:left="360"/>
      </w:pPr>
      <w:r/>
      <w:r>
        <w:rPr>
          <w:rFonts w:ascii="Arial" w:hAnsi="Arial"/>
          <w:b/>
          <w:sz w:val="22"/>
        </w:rPr>
        <w:t xml:space="preserve">Persistence: </w:t>
      </w:r>
      <w:r>
        <w:rPr>
          <w:rFonts w:ascii="Arial" w:hAnsi="Arial"/>
          <w:sz w:val="22"/>
        </w:rPr>
        <w:t>Session continuity through shared context. The next session picks up exactly where this one ends.</w:t>
      </w:r>
    </w:p>
    <w:p>
      <w:pPr>
        <w:pStyle w:val="ListBullet"/>
        <w:spacing w:after="80"/>
        <w:ind w:left="360"/>
      </w:pPr>
      <w:r/>
      <w:r>
        <w:rPr>
          <w:rFonts w:ascii="Arial" w:hAnsi="Arial"/>
          <w:b/>
          <w:sz w:val="22"/>
        </w:rPr>
        <w:t xml:space="preserve">Testing: </w:t>
      </w:r>
      <w:r>
        <w:rPr>
          <w:rFonts w:ascii="Arial" w:hAnsi="Arial"/>
          <w:sz w:val="22"/>
        </w:rPr>
        <w:t>Test-gated task completion. No task marked done until tests pass. Quality enforced, not hoped for.</w:t>
      </w:r>
    </w:p>
    <w:p>
      <w:pPr>
        <w:spacing w:before="480" w:after="480"/>
        <w:pBdr>
          <w:bottom w:val="single" w:sz="4" w:space="1" w:color="CCCCCC"/>
        </w:pBdr>
      </w:pPr>
    </w:p>
    <w:p>
      <w:pPr>
        <w:spacing w:before="480" w:after="80"/>
      </w:pPr>
      <w:r>
        <w:rPr>
          <w:rFonts w:ascii="Arial" w:hAnsi="Arial"/>
          <w:b/>
          <w:color w:val="666666"/>
          <w:sz w:val="18"/>
        </w:rPr>
        <w:t>COMMERCIAL MODEL</w:t>
      </w:r>
    </w:p>
    <w:p>
      <w:pPr>
        <w:pStyle w:val="Heading1"/>
        <w:spacing w:before="0" w:after="240"/>
      </w:pPr>
      <w:r>
        <w:rPr>
          <w:rFonts w:ascii="Arial" w:hAnsi="Arial"/>
          <w:color w:val="000000"/>
          <w:sz w:val="52"/>
        </w:rPr>
        <w:t>Fixed Price. No Surprises.</w:t>
      </w:r>
    </w:p>
    <w:p>
      <w:pPr>
        <w:spacing w:after="280" w:line="288" w:lineRule="auto"/>
      </w:pPr>
      <w:r>
        <w:rPr>
          <w:rFonts w:ascii="Arial" w:hAnsi="Arial"/>
          <w:color w:val="333333"/>
          <w:sz w:val="24"/>
        </w:rPr>
        <w:t>We deliver at a fixed price per engagement. Not hourly rates. Not time-and-materials. A commitment to a defined scope at a defined price.</w:t>
      </w:r>
    </w:p>
    <w:p>
      <w:pPr>
        <w:spacing w:after="160" w:line="276" w:lineRule="auto"/>
      </w:pPr>
      <w:r>
        <w:rPr>
          <w:rFonts w:ascii="Arial" w:hAnsi="Arial"/>
          <w:color w:val="000000"/>
          <w:sz w:val="22"/>
        </w:rPr>
        <w:t>The price for this engagement reflects a strategic decision. Agentic Engineering is a delivery model many have not experienced. We believe the best demonstration is results that speak for themselves.</w:t>
      </w:r>
    </w:p>
    <w:p>
      <w:pPr>
        <w:spacing w:before="360" w:after="360"/>
        <w:ind w:left="720" w:right="720"/>
        <w:pBdr>
          <w:left w:val="single" w:sz="24" w:space="12" w:color="000000"/>
        </w:pBdr>
      </w:pPr>
      <w:r>
        <w:rPr>
          <w:i/>
          <w:color w:val="333333"/>
          <w:sz w:val="26"/>
        </w:rPr>
        <w:t>This is not a race to the bottom. This is a one-time showcase opportunity—an investment in demonstrating capability.</w:t>
      </w:r>
    </w:p>
    <w:p>
      <w:pPr>
        <w:spacing w:after="160" w:line="276" w:lineRule="auto"/>
      </w:pPr>
      <w:r>
        <w:rPr>
          <w:rFonts w:ascii="Arial" w:hAnsi="Arial"/>
          <w:color w:val="000000"/>
          <w:sz w:val="22"/>
        </w:rPr>
        <w:t>What you receive: the same quality, rigor, and professionalism as our standard engagements. No shortcuts. No reduced scope. Our best work.</w:t>
      </w:r>
    </w:p>
    <w:p>
      <w:pPr>
        <w:spacing w:before="480" w:after="480"/>
        <w:pBdr>
          <w:bottom w:val="single" w:sz="4" w:space="1" w:color="CCCCCC"/>
        </w:pBdr>
      </w:pPr>
    </w:p>
    <w:p>
      <w:pPr>
        <w:spacing w:before="480" w:after="80"/>
      </w:pPr>
      <w:r>
        <w:rPr>
          <w:rFonts w:ascii="Arial" w:hAnsi="Arial"/>
          <w:b/>
          <w:color w:val="666666"/>
          <w:sz w:val="18"/>
        </w:rPr>
        <w:t>COMMITMENT</w:t>
      </w:r>
    </w:p>
    <w:p>
      <w:pPr>
        <w:pStyle w:val="Heading1"/>
        <w:spacing w:before="0" w:after="240"/>
      </w:pPr>
      <w:r>
        <w:rPr>
          <w:rFonts w:ascii="Arial" w:hAnsi="Arial"/>
          <w:color w:val="000000"/>
          <w:sz w:val="52"/>
        </w:rPr>
        <w:t>Our Guarantees</w:t>
      </w:r>
    </w:p>
    <w:p>
      <w:pPr>
        <w:spacing w:after="280" w:line="288" w:lineRule="auto"/>
      </w:pPr>
      <w:r>
        <w:rPr>
          <w:rFonts w:ascii="Arial" w:hAnsi="Arial"/>
          <w:color w:val="333333"/>
          <w:sz w:val="24"/>
        </w:rPr>
        <w:t>We don't ask you to trust our judgment of quality. We ask you to define it.</w:t>
      </w:r>
    </w:p>
    <w:p>
      <w:pPr>
        <w:pStyle w:val="Heading2"/>
        <w:spacing w:before="360" w:after="160"/>
      </w:pPr>
      <w:r>
        <w:rPr>
          <w:rFonts w:ascii="Arial" w:hAnsi="Arial"/>
          <w:color w:val="000000"/>
          <w:sz w:val="32"/>
        </w:rPr>
        <w:t>Code Quality</w:t>
      </w:r>
    </w:p>
    <w:p>
      <w:pPr>
        <w:spacing w:after="160" w:line="276" w:lineRule="auto"/>
      </w:pPr>
      <w:r>
        <w:rPr>
          <w:rFonts w:ascii="Arial" w:hAnsi="Arial"/>
          <w:color w:val="000000"/>
          <w:sz w:val="22"/>
        </w:rPr>
        <w:t>Show us what you consider great code—or beautiful code. From your codebase, from open source, from a book. We study it, understand its patterns, and adhere to that standard.</w:t>
      </w:r>
    </w:p>
    <w:p>
      <w:pPr>
        <w:pStyle w:val="Heading2"/>
        <w:spacing w:before="360" w:after="160"/>
      </w:pPr>
      <w:r>
        <w:rPr>
          <w:rFonts w:ascii="Arial" w:hAnsi="Arial"/>
          <w:color w:val="000000"/>
          <w:sz w:val="32"/>
        </w:rPr>
        <w:t>Documentation</w:t>
      </w:r>
    </w:p>
    <w:p>
      <w:pPr>
        <w:spacing w:after="160" w:line="276" w:lineRule="auto"/>
      </w:pPr>
      <w:r>
        <w:rPr>
          <w:rFonts w:ascii="Arial" w:hAnsi="Arial"/>
          <w:color w:val="000000"/>
          <w:sz w:val="22"/>
        </w:rPr>
        <w:t>Show us architecture documents or technical writing that impressed you. Regardless of context or industry. We adapt to that standard. Stripe's API docs. AWS Well-Architected. Whatever made you say "this is how it should be done."</w:t>
      </w:r>
    </w:p>
    <w:p>
      <w:pPr>
        <w:pStyle w:val="Heading2"/>
        <w:spacing w:before="360" w:after="160"/>
      </w:pPr>
      <w:r>
        <w:rPr>
          <w:rFonts w:ascii="Arial" w:hAnsi="Arial"/>
          <w:color w:val="000000"/>
          <w:sz w:val="32"/>
        </w:rPr>
        <w:t>Delivery Walkthrough</w:t>
      </w:r>
    </w:p>
    <w:p>
      <w:pPr>
        <w:spacing w:after="160" w:line="276" w:lineRule="auto"/>
      </w:pPr>
      <w:r>
        <w:rPr>
          <w:rFonts w:ascii="Arial" w:hAnsi="Arial"/>
          <w:color w:val="000000"/>
          <w:sz w:val="22"/>
        </w:rPr>
        <w:t>At completion: a full one-hour walkthrough with your technical team. We demonstrate strict adherence to agreed parameters. Every screen. Every integration. Every business rule. Working against real data.</w:t>
      </w:r>
    </w:p>
    <w:p>
      <w:pPr>
        <w:spacing w:before="480" w:after="480"/>
        <w:pBdr>
          <w:bottom w:val="single" w:sz="4" w:space="1" w:color="CCCCCC"/>
        </w:pBdr>
      </w:pPr>
    </w:p>
    <w:p>
      <w:pPr>
        <w:spacing w:before="480" w:after="80"/>
      </w:pPr>
      <w:r>
        <w:rPr>
          <w:rFonts w:ascii="Arial" w:hAnsi="Arial"/>
          <w:b/>
          <w:color w:val="666666"/>
          <w:sz w:val="18"/>
        </w:rPr>
        <w:t>VISION</w:t>
      </w:r>
    </w:p>
    <w:p>
      <w:pPr>
        <w:pStyle w:val="Heading1"/>
        <w:spacing w:before="0" w:after="240"/>
      </w:pPr>
      <w:r>
        <w:rPr>
          <w:rFonts w:ascii="Arial" w:hAnsi="Arial"/>
          <w:color w:val="000000"/>
          <w:sz w:val="52"/>
        </w:rPr>
        <w:t>Partnership</w:t>
      </w:r>
    </w:p>
    <w:p>
      <w:pPr>
        <w:spacing w:after="280" w:line="288" w:lineRule="auto"/>
      </w:pPr>
      <w:r>
        <w:rPr>
          <w:rFonts w:ascii="Arial" w:hAnsi="Arial"/>
          <w:color w:val="333333"/>
          <w:sz w:val="24"/>
        </w:rPr>
        <w:t>We are not looking for a transaction. We are looking for a partnership.</w:t>
      </w:r>
    </w:p>
    <w:p>
      <w:pPr>
        <w:spacing w:after="160" w:line="276" w:lineRule="auto"/>
      </w:pPr>
      <w:r>
        <w:rPr>
          <w:rFonts w:ascii="Arial" w:hAnsi="Arial"/>
          <w:color w:val="000000"/>
          <w:sz w:val="22"/>
        </w:rPr>
        <w:t>STARK Group's digital transformation spans multiple systems, teams, and years. We believe Agentic Engineering can serve that journey—not just for procurement, but across the portfolio. This engagement is an opportunity for both parties to evaluate fit.</w:t>
      </w:r>
    </w:p>
    <w:p>
      <w:pPr>
        <w:spacing w:before="360" w:after="360"/>
        <w:ind w:left="720" w:right="720"/>
        <w:pBdr>
          <w:left w:val="single" w:sz="24" w:space="12" w:color="000000"/>
        </w:pBdr>
      </w:pPr>
      <w:r>
        <w:rPr>
          <w:i/>
          <w:color w:val="333333"/>
          <w:sz w:val="26"/>
        </w:rPr>
        <w:t>Success: you complete this project confident in our capability, proud of the system, and wanting to continue.</w:t>
      </w:r>
    </w:p>
    <w:p>
      <w:r>
        <w:br w:type="page"/>
      </w:r>
    </w:p>
    <w:p>
      <w:pPr>
        <w:spacing w:before="480" w:after="80"/>
      </w:pPr>
      <w:r>
        <w:rPr>
          <w:rFonts w:ascii="Arial" w:hAnsi="Arial"/>
          <w:b/>
          <w:color w:val="666666"/>
          <w:sz w:val="18"/>
        </w:rPr>
        <w:t>SCOPE DEFINITION</w:t>
      </w:r>
    </w:p>
    <w:p>
      <w:pPr>
        <w:pStyle w:val="Heading1"/>
        <w:spacing w:before="0" w:after="240"/>
      </w:pPr>
      <w:r>
        <w:rPr>
          <w:rFonts w:ascii="Arial" w:hAnsi="Arial"/>
          <w:color w:val="000000"/>
          <w:sz w:val="52"/>
        </w:rPr>
        <w:t>STARK Procurement</w:t>
      </w:r>
    </w:p>
    <w:p>
      <w:pPr>
        <w:spacing w:after="320"/>
      </w:pPr>
      <w:r>
        <w:rPr>
          <w:rFonts w:ascii="Arial" w:hAnsi="Arial"/>
          <w:color w:val="999999"/>
          <w:sz w:val="20"/>
        </w:rPr>
        <w:t>Version 1.0  •  March 2026  •  For Discussion</w:t>
      </w:r>
    </w:p>
    <w:p>
      <w:pPr>
        <w:spacing w:before="480" w:after="480"/>
        <w:pBdr>
          <w:bottom w:val="single" w:sz="4" w:space="1" w:color="CCCCCC"/>
        </w:pBdr>
      </w:pPr>
    </w:p>
    <w:p>
      <w:pPr>
        <w:pStyle w:val="Heading2"/>
        <w:spacing w:before="360" w:after="160"/>
      </w:pPr>
      <w:r>
        <w:rPr>
          <w:rFonts w:ascii="Arial" w:hAnsi="Arial"/>
          <w:color w:val="000000"/>
          <w:sz w:val="32"/>
        </w:rPr>
        <w:t>Executive Summary</w:t>
      </w:r>
    </w:p>
    <w:p>
      <w:pPr>
        <w:pStyle w:val="Heading3"/>
        <w:spacing w:before="280" w:after="120"/>
      </w:pPr>
      <w:r>
        <w:rPr>
          <w:rFonts w:ascii="Arial" w:hAnsi="Arial"/>
          <w:color w:val="333333"/>
          <w:sz w:val="26"/>
        </w:rPr>
        <w:t>What We Build</w:t>
      </w:r>
    </w:p>
    <w:p>
      <w:pPr>
        <w:spacing w:after="160" w:line="276" w:lineRule="auto"/>
      </w:pPr>
      <w:r>
        <w:rPr>
          <w:rFonts w:ascii="Arial" w:hAnsi="Arial"/>
          <w:color w:val="000000"/>
          <w:sz w:val="22"/>
        </w:rPr>
        <w:t>A Procurement System handling the complete Purchase-to-Pay workflow for STARK Group Denmark.</w:t>
      </w:r>
    </w:p>
    <w:p>
      <w:pPr>
        <w:spacing w:before="240" w:after="240"/>
        <w:jc w:val="center"/>
      </w:pPr>
      <w:r>
        <w:rPr>
          <w:rFonts w:ascii="Arial" w:hAnsi="Arial"/>
          <w:b/>
          <w:sz w:val="22"/>
        </w:rPr>
        <w:t>PR Ingestion → PO Generation → Supplier Communication → Invoice Matching → Approval</w:t>
      </w:r>
    </w:p>
    <w:p>
      <w:pPr>
        <w:pStyle w:val="Heading3"/>
        <w:spacing w:before="280" w:after="120"/>
      </w:pPr>
      <w:r>
        <w:rPr>
          <w:rFonts w:ascii="Arial" w:hAnsi="Arial"/>
          <w:color w:val="333333"/>
          <w:sz w:val="26"/>
        </w:rPr>
        <w:t>What We Do Not Build</w:t>
      </w: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Heading3"/>
        <w:spacing w:before="280" w:after="120"/>
      </w:pPr>
      <w:r>
        <w:rPr>
          <w:rFonts w:ascii="Arial" w:hAnsi="Arial"/>
          <w:color w:val="333333"/>
          <w:sz w:val="26"/>
        </w:rPr>
        <w:t>Scale</w:t>
      </w:r>
    </w:p>
    <w:tbl>
      <w:tblPr>
        <w:tblStyle w:val="TableGrid"/>
        <w:tblW w:type="auto" w:w="0"/>
        <w:tblLook w:firstColumn="1" w:firstRow="1" w:lastColumn="0" w:lastRow="0" w:noHBand="0" w:noVBand="1" w:val="04A0"/>
      </w:tblPr>
      <w:tblGrid>
        <w:gridCol w:w="4320"/>
        <w:gridCol w:w="4320"/>
      </w:tblGrid>
      <w:tr>
        <w:tc>
          <w:tcPr>
            <w:tcW w:type="dxa" w:w="4320"/>
            <w:shd w:fill="E6E6E1"/>
          </w:tcPr>
          <w:p>
            <w:r>
              <w:rPr>
                <w:rFonts w:ascii="Arial" w:hAnsi="Arial"/>
                <w:b/>
                <w:sz w:val="20"/>
              </w:rPr>
              <w:t>Metric</w:t>
            </w:r>
          </w:p>
        </w:tc>
        <w:tc>
          <w:tcPr>
            <w:tcW w:type="dxa" w:w="4320"/>
            <w:shd w:fill="E6E6E1"/>
          </w:tcPr>
          <w:p>
            <w:r>
              <w:rPr>
                <w:rFonts w:ascii="Arial" w:hAnsi="Arial"/>
                <w:b/>
                <w:sz w:val="20"/>
              </w:rPr>
              <w:t>Annual Volume</w:t>
            </w:r>
          </w:p>
        </w:tc>
      </w:tr>
      <w:tr>
        <w:tc>
          <w:tcPr>
            <w:tcW w:type="dxa" w:w="4320"/>
          </w:tcPr>
          <w:p>
            <w:r>
              <w:rPr>
                <w:rFonts w:ascii="Arial" w:hAnsi="Arial"/>
                <w:sz w:val="20"/>
              </w:rPr>
              <w:t>Purchase Orders</w:t>
            </w:r>
          </w:p>
        </w:tc>
        <w:tc>
          <w:tcPr>
            <w:tcW w:type="dxa" w:w="4320"/>
          </w:tcPr>
          <w:p>
            <w:r>
              <w:rPr>
                <w:rFonts w:ascii="Arial" w:hAnsi="Arial"/>
                <w:sz w:val="20"/>
              </w:rPr>
              <w:t>750,000</w:t>
            </w:r>
          </w:p>
        </w:tc>
      </w:tr>
      <w:tr>
        <w:tc>
          <w:tcPr>
            <w:tcW w:type="dxa" w:w="4320"/>
          </w:tcPr>
          <w:p>
            <w:r>
              <w:rPr>
                <w:rFonts w:ascii="Arial" w:hAnsi="Arial"/>
                <w:sz w:val="20"/>
              </w:rPr>
              <w:t>PO Value</w:t>
            </w:r>
          </w:p>
        </w:tc>
        <w:tc>
          <w:tcPr>
            <w:tcW w:type="dxa" w:w="4320"/>
          </w:tcPr>
          <w:p>
            <w:r>
              <w:rPr>
                <w:rFonts w:ascii="Arial" w:hAnsi="Arial"/>
                <w:sz w:val="20"/>
              </w:rPr>
              <w:t>€1.1B</w:t>
            </w:r>
          </w:p>
        </w:tc>
      </w:tr>
      <w:tr>
        <w:tc>
          <w:tcPr>
            <w:tcW w:type="dxa" w:w="4320"/>
          </w:tcPr>
          <w:p>
            <w:r>
              <w:rPr>
                <w:rFonts w:ascii="Arial" w:hAnsi="Arial"/>
                <w:sz w:val="20"/>
              </w:rPr>
              <w:t>Suppliers</w:t>
            </w:r>
          </w:p>
        </w:tc>
        <w:tc>
          <w:tcPr>
            <w:tcW w:type="dxa" w:w="4320"/>
          </w:tcPr>
          <w:p>
            <w:r>
              <w:rPr>
                <w:rFonts w:ascii="Arial" w:hAnsi="Arial"/>
                <w:sz w:val="20"/>
              </w:rPr>
              <w:t>10,000</w:t>
            </w:r>
          </w:p>
        </w:tc>
      </w:tr>
      <w:tr>
        <w:tc>
          <w:tcPr>
            <w:tcW w:type="dxa" w:w="4320"/>
          </w:tcPr>
          <w:p>
            <w:r>
              <w:rPr>
                <w:rFonts w:ascii="Arial" w:hAnsi="Arial"/>
                <w:sz w:val="20"/>
              </w:rPr>
              <w:t>Branches</w:t>
            </w:r>
          </w:p>
        </w:tc>
        <w:tc>
          <w:tcPr>
            <w:tcW w:type="dxa" w:w="4320"/>
          </w:tcPr>
          <w:p>
            <w:r>
              <w:rPr>
                <w:rFonts w:ascii="Arial" w:hAnsi="Arial"/>
                <w:sz w:val="20"/>
              </w:rPr>
              <w:t>84</w:t>
            </w:r>
          </w:p>
        </w:tc>
      </w:tr>
      <w:tr>
        <w:tc>
          <w:tcPr>
            <w:tcW w:type="dxa" w:w="4320"/>
          </w:tcPr>
          <w:p>
            <w:r>
              <w:rPr>
                <w:rFonts w:ascii="Arial" w:hAnsi="Arial"/>
                <w:sz w:val="20"/>
              </w:rPr>
              <w:t>System Users</w:t>
            </w:r>
          </w:p>
        </w:tc>
        <w:tc>
          <w:tcPr>
            <w:tcW w:type="dxa" w:w="4320"/>
          </w:tcPr>
          <w:p>
            <w:r>
              <w:rPr>
                <w:rFonts w:ascii="Arial" w:hAnsi="Arial"/>
                <w:sz w:val="20"/>
              </w:rPr>
              <w:t>30 procurement staff</w:t>
            </w:r>
          </w:p>
        </w:tc>
      </w:tr>
    </w:tbl>
    <w:p/>
    <w:p>
      <w:pPr>
        <w:spacing w:before="480" w:after="480"/>
        <w:pBdr>
          <w:bottom w:val="single" w:sz="4" w:space="1" w:color="CCCCCC"/>
        </w:pBdr>
      </w:pPr>
    </w:p>
    <w:p>
      <w:pPr>
        <w:pStyle w:val="Heading2"/>
        <w:spacing w:before="360" w:after="160"/>
      </w:pPr>
      <w:r>
        <w:rPr>
          <w:rFonts w:ascii="Arial" w:hAnsi="Arial"/>
          <w:color w:val="000000"/>
          <w:sz w:val="32"/>
        </w:rPr>
        <w:t>Users &amp; Roles</w:t>
      </w:r>
    </w:p>
    <w:p>
      <w:pPr>
        <w:pStyle w:val="Heading3"/>
        <w:spacing w:before="280" w:after="120"/>
      </w:pPr>
      <w:r>
        <w:rPr>
          <w:rFonts w:ascii="Arial" w:hAnsi="Arial"/>
          <w:color w:val="333333"/>
          <w:sz w:val="26"/>
        </w:rPr>
        <w:t>Population</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rFonts w:ascii="Arial" w:hAnsi="Arial"/>
                <w:b/>
                <w:sz w:val="20"/>
              </w:rPr>
              <w:t>Role</w:t>
            </w:r>
          </w:p>
        </w:tc>
        <w:tc>
          <w:tcPr>
            <w:tcW w:type="dxa" w:w="2880"/>
            <w:shd w:fill="E6E6E1"/>
          </w:tcPr>
          <w:p>
            <w:r>
              <w:rPr>
                <w:rFonts w:ascii="Arial" w:hAnsi="Arial"/>
                <w:b/>
                <w:sz w:val="20"/>
              </w:rPr>
              <w:t>Count</w:t>
            </w:r>
          </w:p>
        </w:tc>
        <w:tc>
          <w:tcPr>
            <w:tcW w:type="dxa" w:w="2880"/>
            <w:shd w:fill="E6E6E1"/>
          </w:tcPr>
          <w:p>
            <w:r>
              <w:rPr>
                <w:rFonts w:ascii="Arial" w:hAnsi="Arial"/>
                <w:b/>
                <w:sz w:val="20"/>
              </w:rPr>
              <w:t>Primary Function</w:t>
            </w:r>
          </w:p>
        </w:tc>
      </w:tr>
      <w:tr>
        <w:tc>
          <w:tcPr>
            <w:tcW w:type="dxa" w:w="2880"/>
          </w:tcPr>
          <w:p>
            <w:r>
              <w:rPr>
                <w:rFonts w:ascii="Arial" w:hAnsi="Arial"/>
                <w:sz w:val="20"/>
              </w:rPr>
              <w:t>Buyer</w:t>
            </w:r>
          </w:p>
        </w:tc>
        <w:tc>
          <w:tcPr>
            <w:tcW w:type="dxa" w:w="2880"/>
          </w:tcPr>
          <w:p>
            <w:r>
              <w:rPr>
                <w:rFonts w:ascii="Arial" w:hAnsi="Arial"/>
                <w:sz w:val="20"/>
              </w:rPr>
              <w:t>~20</w:t>
            </w:r>
          </w:p>
        </w:tc>
        <w:tc>
          <w:tcPr>
            <w:tcW w:type="dxa" w:w="2880"/>
          </w:tcPr>
          <w:p>
            <w:r>
              <w:rPr>
                <w:rFonts w:ascii="Arial" w:hAnsi="Arial"/>
                <w:sz w:val="20"/>
              </w:rPr>
              <w:t>PR review, PO creation, bundling, invoice matching</w:t>
            </w:r>
          </w:p>
        </w:tc>
      </w:tr>
      <w:tr>
        <w:tc>
          <w:tcPr>
            <w:tcW w:type="dxa" w:w="2880"/>
          </w:tcPr>
          <w:p>
            <w:r>
              <w:rPr>
                <w:rFonts w:ascii="Arial" w:hAnsi="Arial"/>
                <w:sz w:val="20"/>
              </w:rPr>
              <w:t>Approver</w:t>
            </w:r>
          </w:p>
        </w:tc>
        <w:tc>
          <w:tcPr>
            <w:tcW w:type="dxa" w:w="2880"/>
          </w:tcPr>
          <w:p>
            <w:r>
              <w:rPr>
                <w:rFonts w:ascii="Arial" w:hAnsi="Arial"/>
                <w:sz w:val="20"/>
              </w:rPr>
              <w:t>~8</w:t>
            </w:r>
          </w:p>
        </w:tc>
        <w:tc>
          <w:tcPr>
            <w:tcW w:type="dxa" w:w="2880"/>
          </w:tcPr>
          <w:p>
            <w:r>
              <w:rPr>
                <w:rFonts w:ascii="Arial" w:hAnsi="Arial"/>
                <w:sz w:val="20"/>
              </w:rPr>
              <w:t>PO approval, invoice approval, exception handling</w:t>
            </w:r>
          </w:p>
        </w:tc>
      </w:tr>
      <w:tr>
        <w:tc>
          <w:tcPr>
            <w:tcW w:type="dxa" w:w="2880"/>
          </w:tcPr>
          <w:p>
            <w:r>
              <w:rPr>
                <w:rFonts w:ascii="Arial" w:hAnsi="Arial"/>
                <w:sz w:val="20"/>
              </w:rPr>
              <w:t>Admin</w:t>
            </w:r>
          </w:p>
        </w:tc>
        <w:tc>
          <w:tcPr>
            <w:tcW w:type="dxa" w:w="2880"/>
          </w:tcPr>
          <w:p>
            <w:r>
              <w:rPr>
                <w:rFonts w:ascii="Arial" w:hAnsi="Arial"/>
                <w:sz w:val="20"/>
              </w:rPr>
              <w:t>~2</w:t>
            </w:r>
          </w:p>
        </w:tc>
        <w:tc>
          <w:tcPr>
            <w:tcW w:type="dxa" w:w="2880"/>
          </w:tcPr>
          <w:p>
            <w:r>
              <w:rPr>
                <w:rFonts w:ascii="Arial" w:hAnsi="Arial"/>
                <w:sz w:val="20"/>
              </w:rPr>
              <w:t>System configuration, user support, reporting</w:t>
            </w:r>
          </w:p>
        </w:tc>
      </w:tr>
    </w:tbl>
    <w:p/>
    <w:p>
      <w:pPr>
        <w:pStyle w:val="Heading3"/>
        <w:spacing w:before="280" w:after="120"/>
      </w:pPr>
      <w:r>
        <w:rPr>
          <w:rFonts w:ascii="Arial" w:hAnsi="Arial"/>
          <w:color w:val="333333"/>
          <w:sz w:val="26"/>
        </w:rPr>
        <w:t>Role Definitions</w:t>
      </w:r>
    </w:p>
    <w:p>
      <w:pPr>
        <w:pStyle w:val="ListBullet"/>
        <w:spacing w:after="80"/>
        <w:ind w:left="360"/>
      </w:pPr>
      <w:r/>
      <w:r>
        <w:rPr>
          <w:rFonts w:ascii="Arial" w:hAnsi="Arial"/>
          <w:b/>
          <w:sz w:val="22"/>
        </w:rPr>
        <w:t xml:space="preserve">Buyer: </w:t>
      </w:r>
      <w:r>
        <w:rPr>
          <w:rFonts w:ascii="Arial" w:hAnsi="Arial"/>
          <w:sz w:val="22"/>
        </w:rPr>
        <w:t>Day-to-day operations. Reviews PRs, creates POs, matches invoices, resolves discrepancies within tolerance. Cannot approve above personal authority limit.</w:t>
      </w:r>
    </w:p>
    <w:p>
      <w:pPr>
        <w:pStyle w:val="ListBullet"/>
        <w:spacing w:after="80"/>
        <w:ind w:left="360"/>
      </w:pPr>
      <w:r/>
      <w:r>
        <w:rPr>
          <w:rFonts w:ascii="Arial" w:hAnsi="Arial"/>
          <w:b/>
          <w:sz w:val="22"/>
        </w:rPr>
        <w:t xml:space="preserve">Approver: </w:t>
      </w:r>
      <w:r>
        <w:rPr>
          <w:rFonts w:ascii="Arial" w:hAnsi="Arial"/>
          <w:sz w:val="22"/>
        </w:rPr>
        <w:t>Decision authority for high-value transactions. Approves POs and invoices above threshold. Handles escalations. May perform Buyer functions.</w:t>
      </w:r>
    </w:p>
    <w:p>
      <w:pPr>
        <w:pStyle w:val="ListBullet"/>
        <w:spacing w:after="80"/>
        <w:ind w:left="360"/>
      </w:pPr>
      <w:r/>
      <w:r>
        <w:rPr>
          <w:rFonts w:ascii="Arial" w:hAnsi="Arial"/>
          <w:b/>
          <w:sz w:val="22"/>
        </w:rPr>
        <w:t xml:space="preserve">Admin: </w:t>
      </w:r>
      <w:r>
        <w:rPr>
          <w:rFonts w:ascii="Arial" w:hAnsi="Arial"/>
          <w:sz w:val="22"/>
        </w:rPr>
        <w:t>System configuration. Manages thresholds, supplier preferences, authority limits, delegations. No transactional authority beyond Approver role.</w:t>
      </w:r>
    </w:p>
    <w:p>
      <w:pPr>
        <w:spacing w:before="480" w:after="480"/>
        <w:pBdr>
          <w:bottom w:val="single" w:sz="4" w:space="1" w:color="CCCCCC"/>
        </w:pBdr>
      </w:pPr>
    </w:p>
    <w:p>
      <w:pPr>
        <w:pStyle w:val="Heading2"/>
        <w:spacing w:before="360" w:after="160"/>
      </w:pPr>
      <w:r>
        <w:rPr>
          <w:rFonts w:ascii="Arial" w:hAnsi="Arial"/>
          <w:color w:val="000000"/>
          <w:sz w:val="32"/>
        </w:rPr>
        <w:t>Scope Structure</w:t>
      </w:r>
    </w:p>
    <w:p>
      <w:pPr>
        <w:spacing w:after="160" w:line="276" w:lineRule="auto"/>
      </w:pPr>
      <w:r>
        <w:rPr>
          <w:rFonts w:ascii="Arial" w:hAnsi="Arial"/>
          <w:color w:val="000000"/>
          <w:sz w:val="22"/>
        </w:rPr>
        <w:t>Five mutually exclusive domains. For each: IN (we deliver), OUT (others own), BOUNDARY (handoff point).</w:t>
      </w:r>
    </w:p>
    <w:p>
      <w:pPr>
        <w:pStyle w:val="ListBullet"/>
        <w:spacing w:after="80"/>
        <w:ind w:left="360"/>
      </w:pPr>
      <w:r/>
      <w:r>
        <w:rPr>
          <w:rFonts w:ascii="Arial" w:hAnsi="Arial"/>
          <w:b/>
          <w:sz w:val="22"/>
        </w:rPr>
        <w:t xml:space="preserve">User Interface: </w:t>
      </w:r>
      <w:r>
        <w:rPr>
          <w:rFonts w:ascii="Arial" w:hAnsi="Arial"/>
          <w:sz w:val="22"/>
        </w:rPr>
        <w:t>16 screens, components, interactions</w:t>
      </w:r>
    </w:p>
    <w:p>
      <w:pPr>
        <w:pStyle w:val="ListBullet"/>
        <w:spacing w:after="80"/>
        <w:ind w:left="360"/>
      </w:pPr>
      <w:r/>
      <w:r>
        <w:rPr>
          <w:rFonts w:ascii="Arial" w:hAnsi="Arial"/>
          <w:b/>
          <w:sz w:val="22"/>
        </w:rPr>
        <w:t xml:space="preserve">Business Logic: </w:t>
      </w:r>
      <w:r>
        <w:rPr>
          <w:rFonts w:ascii="Arial" w:hAnsi="Arial"/>
          <w:sz w:val="22"/>
        </w:rPr>
        <w:t>Rules, calculations, workflows</w:t>
      </w:r>
    </w:p>
    <w:p>
      <w:pPr>
        <w:pStyle w:val="ListBullet"/>
        <w:spacing w:after="80"/>
        <w:ind w:left="360"/>
      </w:pPr>
      <w:r/>
      <w:r>
        <w:rPr>
          <w:rFonts w:ascii="Arial" w:hAnsi="Arial"/>
          <w:b/>
          <w:sz w:val="22"/>
        </w:rPr>
        <w:t xml:space="preserve">Data Layer: </w:t>
      </w:r>
      <w:r>
        <w:rPr>
          <w:rFonts w:ascii="Arial" w:hAnsi="Arial"/>
          <w:sz w:val="22"/>
        </w:rPr>
        <w:t>Storage, queries, synchronization</w:t>
      </w:r>
    </w:p>
    <w:p>
      <w:pPr>
        <w:pStyle w:val="ListBullet"/>
        <w:spacing w:after="80"/>
        <w:ind w:left="360"/>
      </w:pPr>
      <w:r/>
      <w:r>
        <w:rPr>
          <w:rFonts w:ascii="Arial" w:hAnsi="Arial"/>
          <w:b/>
          <w:sz w:val="22"/>
        </w:rPr>
        <w:t xml:space="preserve">Integrations: </w:t>
      </w:r>
      <w:r>
        <w:rPr>
          <w:rFonts w:ascii="Arial" w:hAnsi="Arial"/>
          <w:sz w:val="22"/>
        </w:rPr>
        <w:t>Kafka consumers/producers, REST fallback, events</w:t>
      </w:r>
    </w:p>
    <w:p>
      <w:pPr>
        <w:pStyle w:val="ListBullet"/>
        <w:spacing w:after="80"/>
        <w:ind w:left="360"/>
      </w:pPr>
      <w:r/>
      <w:r>
        <w:rPr>
          <w:rFonts w:ascii="Arial" w:hAnsi="Arial"/>
          <w:b/>
          <w:sz w:val="22"/>
        </w:rPr>
        <w:t xml:space="preserve">Operations: </w:t>
      </w:r>
      <w:r>
        <w:rPr>
          <w:rFonts w:ascii="Arial" w:hAnsi="Arial"/>
          <w:sz w:val="22"/>
        </w:rPr>
        <w:t>Infrastructure, deployment, monitoring</w:t>
      </w:r>
    </w:p>
    <w:p>
      <w:pPr>
        <w:spacing w:before="480" w:after="480"/>
        <w:pBdr>
          <w:bottom w:val="single" w:sz="4" w:space="1" w:color="CCCCCC"/>
        </w:pBdr>
      </w:pPr>
    </w:p>
    <w:p>
      <w:pPr>
        <w:pStyle w:val="Heading2"/>
        <w:spacing w:before="360" w:after="160"/>
      </w:pPr>
      <w:r>
        <w:rPr>
          <w:rFonts w:ascii="Arial" w:hAnsi="Arial"/>
          <w:color w:val="000000"/>
          <w:sz w:val="32"/>
        </w:rPr>
        <w:t>User Interface</w:t>
      </w:r>
    </w:p>
    <w:p>
      <w:pPr>
        <w:pStyle w:val="Heading3"/>
        <w:spacing w:before="280" w:after="120"/>
      </w:pPr>
      <w:r>
        <w:rPr>
          <w:rFonts w:ascii="Arial" w:hAnsi="Arial"/>
          <w:color w:val="333333"/>
          <w:sz w:val="26"/>
        </w:rPr>
        <w:t>16 Screens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rFonts w:ascii="Arial" w:hAnsi="Arial"/>
                <w:b/>
                <w:sz w:val="20"/>
              </w:rPr>
              <w:t>ID</w:t>
            </w:r>
          </w:p>
        </w:tc>
        <w:tc>
          <w:tcPr>
            <w:tcW w:type="dxa" w:w="2880"/>
            <w:shd w:fill="E6E6E1"/>
          </w:tcPr>
          <w:p>
            <w:r>
              <w:rPr>
                <w:rFonts w:ascii="Arial" w:hAnsi="Arial"/>
                <w:b/>
                <w:sz w:val="20"/>
              </w:rPr>
              <w:t>Name</w:t>
            </w:r>
          </w:p>
        </w:tc>
        <w:tc>
          <w:tcPr>
            <w:tcW w:type="dxa" w:w="2880"/>
            <w:shd w:fill="E6E6E1"/>
          </w:tcPr>
          <w:p>
            <w:r>
              <w:rPr>
                <w:rFonts w:ascii="Arial" w:hAnsi="Arial"/>
                <w:b/>
                <w:sz w:val="20"/>
              </w:rPr>
              <w:t>Purpose</w:t>
            </w:r>
          </w:p>
        </w:tc>
      </w:tr>
      <w:tr>
        <w:tc>
          <w:tcPr>
            <w:tcW w:type="dxa" w:w="2880"/>
          </w:tcPr>
          <w:p>
            <w:r>
              <w:rPr>
                <w:rFonts w:ascii="Arial" w:hAnsi="Arial"/>
                <w:sz w:val="20"/>
              </w:rPr>
              <w:t>A1</w:t>
            </w:r>
          </w:p>
        </w:tc>
        <w:tc>
          <w:tcPr>
            <w:tcW w:type="dxa" w:w="2880"/>
          </w:tcPr>
          <w:p>
            <w:r>
              <w:rPr>
                <w:rFonts w:ascii="Arial" w:hAnsi="Arial"/>
                <w:sz w:val="20"/>
              </w:rPr>
              <w:t>PR Inbox</w:t>
            </w:r>
          </w:p>
        </w:tc>
        <w:tc>
          <w:tcPr>
            <w:tcW w:type="dxa" w:w="2880"/>
          </w:tcPr>
          <w:p>
            <w:r>
              <w:rPr>
                <w:rFonts w:ascii="Arial" w:hAnsi="Arial"/>
                <w:sz w:val="20"/>
              </w:rPr>
              <w:t>Incoming purchase requests</w:t>
            </w:r>
          </w:p>
        </w:tc>
      </w:tr>
      <w:tr>
        <w:tc>
          <w:tcPr>
            <w:tcW w:type="dxa" w:w="2880"/>
          </w:tcPr>
          <w:p>
            <w:r>
              <w:rPr>
                <w:rFonts w:ascii="Arial" w:hAnsi="Arial"/>
                <w:sz w:val="20"/>
              </w:rPr>
              <w:t>A2</w:t>
            </w:r>
          </w:p>
        </w:tc>
        <w:tc>
          <w:tcPr>
            <w:tcW w:type="dxa" w:w="2880"/>
          </w:tcPr>
          <w:p>
            <w:r>
              <w:rPr>
                <w:rFonts w:ascii="Arial" w:hAnsi="Arial"/>
                <w:sz w:val="20"/>
              </w:rPr>
              <w:t>PR Detail</w:t>
            </w:r>
          </w:p>
        </w:tc>
        <w:tc>
          <w:tcPr>
            <w:tcW w:type="dxa" w:w="2880"/>
          </w:tcPr>
          <w:p>
            <w:r>
              <w:rPr>
                <w:rFonts w:ascii="Arial" w:hAnsi="Arial"/>
                <w:sz w:val="20"/>
              </w:rPr>
              <w:t>Individual PR with line items</w:t>
            </w:r>
          </w:p>
        </w:tc>
      </w:tr>
      <w:tr>
        <w:tc>
          <w:tcPr>
            <w:tcW w:type="dxa" w:w="2880"/>
          </w:tcPr>
          <w:p>
            <w:r>
              <w:rPr>
                <w:rFonts w:ascii="Arial" w:hAnsi="Arial"/>
                <w:sz w:val="20"/>
              </w:rPr>
              <w:t>B1</w:t>
            </w:r>
          </w:p>
        </w:tc>
        <w:tc>
          <w:tcPr>
            <w:tcW w:type="dxa" w:w="2880"/>
          </w:tcPr>
          <w:p>
            <w:r>
              <w:rPr>
                <w:rFonts w:ascii="Arial" w:hAnsi="Arial"/>
                <w:sz w:val="20"/>
              </w:rPr>
              <w:t>PO List</w:t>
            </w:r>
          </w:p>
        </w:tc>
        <w:tc>
          <w:tcPr>
            <w:tcW w:type="dxa" w:w="2880"/>
          </w:tcPr>
          <w:p>
            <w:r>
              <w:rPr>
                <w:rFonts w:ascii="Arial" w:hAnsi="Arial"/>
                <w:sz w:val="20"/>
              </w:rPr>
              <w:t>Purchase orders overview</w:t>
            </w:r>
          </w:p>
        </w:tc>
      </w:tr>
      <w:tr>
        <w:tc>
          <w:tcPr>
            <w:tcW w:type="dxa" w:w="2880"/>
          </w:tcPr>
          <w:p>
            <w:r>
              <w:rPr>
                <w:rFonts w:ascii="Arial" w:hAnsi="Arial"/>
                <w:sz w:val="20"/>
              </w:rPr>
              <w:t>B2</w:t>
            </w:r>
          </w:p>
        </w:tc>
        <w:tc>
          <w:tcPr>
            <w:tcW w:type="dxa" w:w="2880"/>
          </w:tcPr>
          <w:p>
            <w:r>
              <w:rPr>
                <w:rFonts w:ascii="Arial" w:hAnsi="Arial"/>
                <w:sz w:val="20"/>
              </w:rPr>
              <w:t>PO Detail</w:t>
            </w:r>
          </w:p>
        </w:tc>
        <w:tc>
          <w:tcPr>
            <w:tcW w:type="dxa" w:w="2880"/>
          </w:tcPr>
          <w:p>
            <w:r>
              <w:rPr>
                <w:rFonts w:ascii="Arial" w:hAnsi="Arial"/>
                <w:sz w:val="20"/>
              </w:rPr>
              <w:t>Individual PO with full details</w:t>
            </w:r>
          </w:p>
        </w:tc>
      </w:tr>
      <w:tr>
        <w:tc>
          <w:tcPr>
            <w:tcW w:type="dxa" w:w="2880"/>
          </w:tcPr>
          <w:p>
            <w:r>
              <w:rPr>
                <w:rFonts w:ascii="Arial" w:hAnsi="Arial"/>
                <w:sz w:val="20"/>
              </w:rPr>
              <w:t>B3</w:t>
            </w:r>
          </w:p>
        </w:tc>
        <w:tc>
          <w:tcPr>
            <w:tcW w:type="dxa" w:w="2880"/>
          </w:tcPr>
          <w:p>
            <w:r>
              <w:rPr>
                <w:rFonts w:ascii="Arial" w:hAnsi="Arial"/>
                <w:sz w:val="20"/>
              </w:rPr>
              <w:t>PO Kanban</w:t>
            </w:r>
          </w:p>
        </w:tc>
        <w:tc>
          <w:tcPr>
            <w:tcW w:type="dxa" w:w="2880"/>
          </w:tcPr>
          <w:p>
            <w:r>
              <w:rPr>
                <w:rFonts w:ascii="Arial" w:hAnsi="Arial"/>
                <w:sz w:val="20"/>
              </w:rPr>
              <w:t>Visual pipeline view</w:t>
            </w:r>
          </w:p>
        </w:tc>
      </w:tr>
      <w:tr>
        <w:tc>
          <w:tcPr>
            <w:tcW w:type="dxa" w:w="2880"/>
          </w:tcPr>
          <w:p>
            <w:r>
              <w:rPr>
                <w:rFonts w:ascii="Arial" w:hAnsi="Arial"/>
                <w:sz w:val="20"/>
              </w:rPr>
              <w:t>C1</w:t>
            </w:r>
          </w:p>
        </w:tc>
        <w:tc>
          <w:tcPr>
            <w:tcW w:type="dxa" w:w="2880"/>
          </w:tcPr>
          <w:p>
            <w:r>
              <w:rPr>
                <w:rFonts w:ascii="Arial" w:hAnsi="Arial"/>
                <w:sz w:val="20"/>
              </w:rPr>
              <w:t>Bundling Workspace</w:t>
            </w:r>
          </w:p>
        </w:tc>
        <w:tc>
          <w:tcPr>
            <w:tcW w:type="dxa" w:w="2880"/>
          </w:tcPr>
          <w:p>
            <w:r>
              <w:rPr>
                <w:rFonts w:ascii="Arial" w:hAnsi="Arial"/>
                <w:sz w:val="20"/>
              </w:rPr>
              <w:t>Group PRs into optimized POs</w:t>
            </w:r>
          </w:p>
        </w:tc>
      </w:tr>
      <w:tr>
        <w:tc>
          <w:tcPr>
            <w:tcW w:type="dxa" w:w="2880"/>
          </w:tcPr>
          <w:p>
            <w:r>
              <w:rPr>
                <w:rFonts w:ascii="Arial" w:hAnsi="Arial"/>
                <w:sz w:val="20"/>
              </w:rPr>
              <w:t>D1</w:t>
            </w:r>
          </w:p>
        </w:tc>
        <w:tc>
          <w:tcPr>
            <w:tcW w:type="dxa" w:w="2880"/>
          </w:tcPr>
          <w:p>
            <w:r>
              <w:rPr>
                <w:rFonts w:ascii="Arial" w:hAnsi="Arial"/>
                <w:sz w:val="20"/>
              </w:rPr>
              <w:t>Invoice List</w:t>
            </w:r>
          </w:p>
        </w:tc>
        <w:tc>
          <w:tcPr>
            <w:tcW w:type="dxa" w:w="2880"/>
          </w:tcPr>
          <w:p>
            <w:r>
              <w:rPr>
                <w:rFonts w:ascii="Arial" w:hAnsi="Arial"/>
                <w:sz w:val="20"/>
              </w:rPr>
              <w:t>Supplier invoices overview</w:t>
            </w:r>
          </w:p>
        </w:tc>
      </w:tr>
      <w:tr>
        <w:tc>
          <w:tcPr>
            <w:tcW w:type="dxa" w:w="2880"/>
          </w:tcPr>
          <w:p>
            <w:r>
              <w:rPr>
                <w:rFonts w:ascii="Arial" w:hAnsi="Arial"/>
                <w:sz w:val="20"/>
              </w:rPr>
              <w:t>D2</w:t>
            </w:r>
          </w:p>
        </w:tc>
        <w:tc>
          <w:tcPr>
            <w:tcW w:type="dxa" w:w="2880"/>
          </w:tcPr>
          <w:p>
            <w:r>
              <w:rPr>
                <w:rFonts w:ascii="Arial" w:hAnsi="Arial"/>
                <w:sz w:val="20"/>
              </w:rPr>
              <w:t>Invoice Detail</w:t>
            </w:r>
          </w:p>
        </w:tc>
        <w:tc>
          <w:tcPr>
            <w:tcW w:type="dxa" w:w="2880"/>
          </w:tcPr>
          <w:p>
            <w:r>
              <w:rPr>
                <w:rFonts w:ascii="Arial" w:hAnsi="Arial"/>
                <w:sz w:val="20"/>
              </w:rPr>
              <w:t>Individual invoice with matching</w:t>
            </w:r>
          </w:p>
        </w:tc>
      </w:tr>
      <w:tr>
        <w:tc>
          <w:tcPr>
            <w:tcW w:type="dxa" w:w="2880"/>
          </w:tcPr>
          <w:p>
            <w:r>
              <w:rPr>
                <w:rFonts w:ascii="Arial" w:hAnsi="Arial"/>
                <w:sz w:val="20"/>
              </w:rPr>
              <w:t>D3</w:t>
            </w:r>
          </w:p>
        </w:tc>
        <w:tc>
          <w:tcPr>
            <w:tcW w:type="dxa" w:w="2880"/>
          </w:tcPr>
          <w:p>
            <w:r>
              <w:rPr>
                <w:rFonts w:ascii="Arial" w:hAnsi="Arial"/>
                <w:sz w:val="20"/>
              </w:rPr>
              <w:t>Match Results</w:t>
            </w:r>
          </w:p>
        </w:tc>
        <w:tc>
          <w:tcPr>
            <w:tcW w:type="dxa" w:w="2880"/>
          </w:tcPr>
          <w:p>
            <w:r>
              <w:rPr>
                <w:rFonts w:ascii="Arial" w:hAnsi="Arial"/>
                <w:sz w:val="20"/>
              </w:rPr>
              <w:t>PO vs Invoice comparison</w:t>
            </w:r>
          </w:p>
        </w:tc>
      </w:tr>
      <w:tr>
        <w:tc>
          <w:tcPr>
            <w:tcW w:type="dxa" w:w="2880"/>
          </w:tcPr>
          <w:p>
            <w:r>
              <w:rPr>
                <w:rFonts w:ascii="Arial" w:hAnsi="Arial"/>
                <w:sz w:val="20"/>
              </w:rPr>
              <w:t>D4</w:t>
            </w:r>
          </w:p>
        </w:tc>
        <w:tc>
          <w:tcPr>
            <w:tcW w:type="dxa" w:w="2880"/>
          </w:tcPr>
          <w:p>
            <w:r>
              <w:rPr>
                <w:rFonts w:ascii="Arial" w:hAnsi="Arial"/>
                <w:sz w:val="20"/>
              </w:rPr>
              <w:t>Discrepancy Queue</w:t>
            </w:r>
          </w:p>
        </w:tc>
        <w:tc>
          <w:tcPr>
            <w:tcW w:type="dxa" w:w="2880"/>
          </w:tcPr>
          <w:p>
            <w:r>
              <w:rPr>
                <w:rFonts w:ascii="Arial" w:hAnsi="Arial"/>
                <w:sz w:val="20"/>
              </w:rPr>
              <w:t>Invoices requiring resolution</w:t>
            </w:r>
          </w:p>
        </w:tc>
      </w:tr>
      <w:tr>
        <w:tc>
          <w:tcPr>
            <w:tcW w:type="dxa" w:w="2880"/>
          </w:tcPr>
          <w:p>
            <w:r>
              <w:rPr>
                <w:rFonts w:ascii="Arial" w:hAnsi="Arial"/>
                <w:sz w:val="20"/>
              </w:rPr>
              <w:t>E1</w:t>
            </w:r>
          </w:p>
        </w:tc>
        <w:tc>
          <w:tcPr>
            <w:tcW w:type="dxa" w:w="2880"/>
          </w:tcPr>
          <w:p>
            <w:r>
              <w:rPr>
                <w:rFonts w:ascii="Arial" w:hAnsi="Arial"/>
                <w:sz w:val="20"/>
              </w:rPr>
              <w:t>Approval Queue</w:t>
            </w:r>
          </w:p>
        </w:tc>
        <w:tc>
          <w:tcPr>
            <w:tcW w:type="dxa" w:w="2880"/>
          </w:tcPr>
          <w:p>
            <w:r>
              <w:rPr>
                <w:rFonts w:ascii="Arial" w:hAnsi="Arial"/>
                <w:sz w:val="20"/>
              </w:rPr>
              <w:t>Items awaiting approval</w:t>
            </w:r>
          </w:p>
        </w:tc>
      </w:tr>
      <w:tr>
        <w:tc>
          <w:tcPr>
            <w:tcW w:type="dxa" w:w="2880"/>
          </w:tcPr>
          <w:p>
            <w:r>
              <w:rPr>
                <w:rFonts w:ascii="Arial" w:hAnsi="Arial"/>
                <w:sz w:val="20"/>
              </w:rPr>
              <w:t>E2</w:t>
            </w:r>
          </w:p>
        </w:tc>
        <w:tc>
          <w:tcPr>
            <w:tcW w:type="dxa" w:w="2880"/>
          </w:tcPr>
          <w:p>
            <w:r>
              <w:rPr>
                <w:rFonts w:ascii="Arial" w:hAnsi="Arial"/>
                <w:sz w:val="20"/>
              </w:rPr>
              <w:t>Approval History</w:t>
            </w:r>
          </w:p>
        </w:tc>
        <w:tc>
          <w:tcPr>
            <w:tcW w:type="dxa" w:w="2880"/>
          </w:tcPr>
          <w:p>
            <w:r>
              <w:rPr>
                <w:rFonts w:ascii="Arial" w:hAnsi="Arial"/>
                <w:sz w:val="20"/>
              </w:rPr>
              <w:t>Decision audit trail</w:t>
            </w:r>
          </w:p>
        </w:tc>
      </w:tr>
      <w:tr>
        <w:tc>
          <w:tcPr>
            <w:tcW w:type="dxa" w:w="2880"/>
          </w:tcPr>
          <w:p>
            <w:r>
              <w:rPr>
                <w:rFonts w:ascii="Arial" w:hAnsi="Arial"/>
                <w:sz w:val="20"/>
              </w:rPr>
              <w:t>F1</w:t>
            </w:r>
          </w:p>
        </w:tc>
        <w:tc>
          <w:tcPr>
            <w:tcW w:type="dxa" w:w="2880"/>
          </w:tcPr>
          <w:p>
            <w:r>
              <w:rPr>
                <w:rFonts w:ascii="Arial" w:hAnsi="Arial"/>
                <w:sz w:val="20"/>
              </w:rPr>
              <w:t>Supplier List</w:t>
            </w:r>
          </w:p>
        </w:tc>
        <w:tc>
          <w:tcPr>
            <w:tcW w:type="dxa" w:w="2880"/>
          </w:tcPr>
          <w:p>
            <w:r>
              <w:rPr>
                <w:rFonts w:ascii="Arial" w:hAnsi="Arial"/>
                <w:sz w:val="20"/>
              </w:rPr>
              <w:t>Supplier master data</w:t>
            </w:r>
          </w:p>
        </w:tc>
      </w:tr>
      <w:tr>
        <w:tc>
          <w:tcPr>
            <w:tcW w:type="dxa" w:w="2880"/>
          </w:tcPr>
          <w:p>
            <w:r>
              <w:rPr>
                <w:rFonts w:ascii="Arial" w:hAnsi="Arial"/>
                <w:sz w:val="20"/>
              </w:rPr>
              <w:t>F2</w:t>
            </w:r>
          </w:p>
        </w:tc>
        <w:tc>
          <w:tcPr>
            <w:tcW w:type="dxa" w:w="2880"/>
          </w:tcPr>
          <w:p>
            <w:r>
              <w:rPr>
                <w:rFonts w:ascii="Arial" w:hAnsi="Arial"/>
                <w:sz w:val="20"/>
              </w:rPr>
              <w:t>Supplier Detail</w:t>
            </w:r>
          </w:p>
        </w:tc>
        <w:tc>
          <w:tcPr>
            <w:tcW w:type="dxa" w:w="2880"/>
          </w:tcPr>
          <w:p>
            <w:r>
              <w:rPr>
                <w:rFonts w:ascii="Arial" w:hAnsi="Arial"/>
                <w:sz w:val="20"/>
              </w:rPr>
              <w:t>Individual supplier profile</w:t>
            </w:r>
          </w:p>
        </w:tc>
      </w:tr>
      <w:tr>
        <w:tc>
          <w:tcPr>
            <w:tcW w:type="dxa" w:w="2880"/>
          </w:tcPr>
          <w:p>
            <w:r>
              <w:rPr>
                <w:rFonts w:ascii="Arial" w:hAnsi="Arial"/>
                <w:sz w:val="20"/>
              </w:rPr>
              <w:t>G1</w:t>
            </w:r>
          </w:p>
        </w:tc>
        <w:tc>
          <w:tcPr>
            <w:tcW w:type="dxa" w:w="2880"/>
          </w:tcPr>
          <w:p>
            <w:r>
              <w:rPr>
                <w:rFonts w:ascii="Arial" w:hAnsi="Arial"/>
                <w:sz w:val="20"/>
              </w:rPr>
              <w:t>Dashboard</w:t>
            </w:r>
          </w:p>
        </w:tc>
        <w:tc>
          <w:tcPr>
            <w:tcW w:type="dxa" w:w="2880"/>
          </w:tcPr>
          <w:p>
            <w:r>
              <w:rPr>
                <w:rFonts w:ascii="Arial" w:hAnsi="Arial"/>
                <w:sz w:val="20"/>
              </w:rPr>
              <w:t>Morning briefing, KPIs, action items</w:t>
            </w:r>
          </w:p>
        </w:tc>
      </w:tr>
      <w:tr>
        <w:tc>
          <w:tcPr>
            <w:tcW w:type="dxa" w:w="2880"/>
          </w:tcPr>
          <w:p>
            <w:r>
              <w:rPr>
                <w:rFonts w:ascii="Arial" w:hAnsi="Arial"/>
                <w:sz w:val="20"/>
              </w:rPr>
              <w:t>H1</w:t>
            </w:r>
          </w:p>
        </w:tc>
        <w:tc>
          <w:tcPr>
            <w:tcW w:type="dxa" w:w="2880"/>
          </w:tcPr>
          <w:p>
            <w:r>
              <w:rPr>
                <w:rFonts w:ascii="Arial" w:hAnsi="Arial"/>
                <w:sz w:val="20"/>
              </w:rPr>
              <w:t>Settings</w:t>
            </w:r>
          </w:p>
        </w:tc>
        <w:tc>
          <w:tcPr>
            <w:tcW w:type="dxa" w:w="2880"/>
          </w:tcPr>
          <w:p>
            <w:r>
              <w:rPr>
                <w:rFonts w:ascii="Arial" w:hAnsi="Arial"/>
                <w:sz w:val="20"/>
              </w:rPr>
              <w:t>User preferences, thresholds</w:t>
            </w:r>
          </w:p>
        </w:tc>
      </w:tr>
    </w:tbl>
    <w:p/>
    <w:p>
      <w:pPr>
        <w:spacing w:before="480" w:after="480"/>
        <w:pBdr>
          <w:bottom w:val="single" w:sz="4" w:space="1" w:color="CCCCCC"/>
        </w:pBdr>
      </w:pPr>
    </w:p>
    <w:p>
      <w:pPr>
        <w:pStyle w:val="Heading2"/>
        <w:spacing w:before="360" w:after="160"/>
      </w:pPr>
      <w:r>
        <w:rPr>
          <w:rFonts w:ascii="Arial" w:hAnsi="Arial"/>
          <w:color w:val="000000"/>
          <w:sz w:val="32"/>
        </w:rPr>
        <w:t>Integrations</w:t>
      </w:r>
    </w:p>
    <w:p>
      <w:pPr>
        <w:spacing w:after="160" w:line="276" w:lineRule="auto"/>
      </w:pPr>
      <w:r>
        <w:rPr>
          <w:rFonts w:ascii="Arial" w:hAnsi="Arial"/>
          <w:color w:val="000000"/>
          <w:sz w:val="22"/>
        </w:rPr>
        <w:t>Kafka-native architecture. Per-source inbound topics. Per-channel outbound topics. REST fallback for non-Kafka sources. Customer provisions topics; we deliver specs and code.</w:t>
      </w:r>
    </w:p>
    <w:p>
      <w:pPr>
        <w:pStyle w:val="Heading3"/>
        <w:spacing w:before="280" w:after="120"/>
      </w:pPr>
      <w:r>
        <w:rPr>
          <w:rFonts w:ascii="Arial" w:hAnsi="Arial"/>
          <w:color w:val="333333"/>
          <w:sz w:val="26"/>
        </w:rPr>
        <w:t>Inbound Sources</w:t>
      </w:r>
    </w:p>
    <w:p>
      <w:pPr>
        <w:pStyle w:val="ListBullet"/>
        <w:spacing w:after="80"/>
        <w:ind w:left="360"/>
      </w:pPr>
      <w:r/>
      <w:r>
        <w:rPr>
          <w:rFonts w:ascii="Arial" w:hAnsi="Arial"/>
          <w:b/>
          <w:sz w:val="22"/>
        </w:rPr>
        <w:t xml:space="preserve">Relex: </w:t>
      </w:r>
      <w:r>
        <w:rPr>
          <w:rFonts w:ascii="Arial" w:hAnsi="Arial"/>
          <w:sz w:val="22"/>
        </w:rPr>
        <w:t>stark.procurement.inbound.prs.relex</w:t>
      </w:r>
    </w:p>
    <w:p>
      <w:pPr>
        <w:pStyle w:val="ListBullet"/>
        <w:spacing w:after="80"/>
        <w:ind w:left="360"/>
      </w:pPr>
      <w:r/>
      <w:r>
        <w:rPr>
          <w:rFonts w:ascii="Arial" w:hAnsi="Arial"/>
          <w:b/>
          <w:sz w:val="22"/>
        </w:rPr>
        <w:t xml:space="preserve">ECom: </w:t>
      </w:r>
      <w:r>
        <w:rPr>
          <w:rFonts w:ascii="Arial" w:hAnsi="Arial"/>
          <w:sz w:val="22"/>
        </w:rPr>
        <w:t>stark.procurement.inbound.prs.ecom</w:t>
      </w:r>
    </w:p>
    <w:p>
      <w:pPr>
        <w:pStyle w:val="ListBullet"/>
        <w:spacing w:after="80"/>
        <w:ind w:left="360"/>
      </w:pPr>
      <w:r/>
      <w:r>
        <w:rPr>
          <w:rFonts w:ascii="Arial" w:hAnsi="Arial"/>
          <w:b/>
          <w:sz w:val="22"/>
        </w:rPr>
        <w:t xml:space="preserve">SalesApp: </w:t>
      </w:r>
      <w:r>
        <w:rPr>
          <w:rFonts w:ascii="Arial" w:hAnsi="Arial"/>
          <w:sz w:val="22"/>
        </w:rPr>
        <w:t>stark.procurement.inbound.prs.salesapp</w:t>
      </w:r>
    </w:p>
    <w:p>
      <w:pPr>
        <w:pStyle w:val="ListBullet"/>
        <w:spacing w:after="80"/>
        <w:ind w:left="360"/>
      </w:pPr>
      <w:r/>
      <w:r>
        <w:rPr>
          <w:rFonts w:ascii="Arial" w:hAnsi="Arial"/>
          <w:b/>
          <w:sz w:val="22"/>
        </w:rPr>
        <w:t xml:space="preserve">Aspect4: </w:t>
      </w:r>
      <w:r>
        <w:rPr>
          <w:rFonts w:ascii="Arial" w:hAnsi="Arial"/>
          <w:sz w:val="22"/>
        </w:rPr>
        <w:t>stark.procurement.inbound.pos.aspect4</w:t>
      </w:r>
    </w:p>
    <w:p>
      <w:pPr>
        <w:pStyle w:val="Heading3"/>
        <w:spacing w:before="280" w:after="120"/>
      </w:pPr>
      <w:r>
        <w:rPr>
          <w:rFonts w:ascii="Arial" w:hAnsi="Arial"/>
          <w:color w:val="333333"/>
          <w:sz w:val="26"/>
        </w:rPr>
        <w:t>Outbound Channels</w:t>
      </w:r>
    </w:p>
    <w:p>
      <w:pPr>
        <w:pStyle w:val="ListBullet"/>
        <w:spacing w:after="80"/>
        <w:ind w:left="360"/>
      </w:pPr>
      <w:r/>
      <w:r>
        <w:rPr>
          <w:rFonts w:ascii="Arial" w:hAnsi="Arial"/>
          <w:b/>
          <w:sz w:val="22"/>
        </w:rPr>
        <w:t xml:space="preserve">EDI: </w:t>
      </w:r>
      <w:r>
        <w:rPr>
          <w:rFonts w:ascii="Arial" w:hAnsi="Arial"/>
          <w:sz w:val="22"/>
        </w:rPr>
        <w:t>stark.procurement.outbound.pos.edi</w:t>
      </w:r>
    </w:p>
    <w:p>
      <w:pPr>
        <w:pStyle w:val="ListBullet"/>
        <w:spacing w:after="80"/>
        <w:ind w:left="360"/>
      </w:pPr>
      <w:r/>
      <w:r>
        <w:rPr>
          <w:rFonts w:ascii="Arial" w:hAnsi="Arial"/>
          <w:b/>
          <w:sz w:val="22"/>
        </w:rPr>
        <w:t xml:space="preserve">Email: </w:t>
      </w:r>
      <w:r>
        <w:rPr>
          <w:rFonts w:ascii="Arial" w:hAnsi="Arial"/>
          <w:sz w:val="22"/>
        </w:rPr>
        <w:t>stark.procurement.outbound.pos.email</w:t>
      </w:r>
    </w:p>
    <w:p>
      <w:pPr>
        <w:pStyle w:val="ListBullet"/>
        <w:spacing w:after="80"/>
        <w:ind w:left="360"/>
      </w:pPr>
      <w:r/>
      <w:r>
        <w:rPr>
          <w:rFonts w:ascii="Arial" w:hAnsi="Arial"/>
          <w:b/>
          <w:sz w:val="22"/>
        </w:rPr>
        <w:t xml:space="preserve">Finance: </w:t>
      </w:r>
      <w:r>
        <w:rPr>
          <w:rFonts w:ascii="Arial" w:hAnsi="Arial"/>
          <w:sz w:val="22"/>
        </w:rPr>
        <w:t>stark.procurement.outbound.finance.invoices</w:t>
      </w:r>
    </w:p>
    <w:p>
      <w:pPr>
        <w:spacing w:before="480" w:after="480"/>
        <w:pBdr>
          <w:bottom w:val="single" w:sz="4" w:space="1" w:color="CCCCCC"/>
        </w:pBdr>
      </w:pPr>
    </w:p>
    <w:p>
      <w:pPr>
        <w:pStyle w:val="Heading2"/>
        <w:spacing w:before="360" w:after="160"/>
      </w:pPr>
      <w:r>
        <w:rPr>
          <w:rFonts w:ascii="Arial" w:hAnsi="Arial"/>
          <w:color w:val="000000"/>
          <w:sz w:val="32"/>
        </w:rPr>
        <w:t>Explicit Exclusions</w:t>
      </w:r>
    </w:p>
    <w:p>
      <w:pPr>
        <w:pStyle w:val="Heading3"/>
        <w:spacing w:before="280" w:after="120"/>
      </w:pPr>
      <w:r>
        <w:rPr>
          <w:rFonts w:ascii="Arial" w:hAnsi="Arial"/>
          <w:color w:val="333333"/>
          <w:sz w:val="26"/>
        </w:rPr>
        <w:t>Not Delivered in This Phase</w:t>
      </w: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Heading3"/>
        <w:spacing w:before="280" w:after="120"/>
      </w:pPr>
      <w:r>
        <w:rPr>
          <w:rFonts w:ascii="Arial" w:hAnsi="Arial"/>
          <w:color w:val="333333"/>
          <w:sz w:val="26"/>
        </w:rPr>
        <w:t>Dependencies Assumed Ready</w:t>
      </w: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spacing w:before="480" w:after="480"/>
        <w:pBdr>
          <w:bottom w:val="single" w:sz="4" w:space="1" w:color="CCCCCC"/>
        </w:pBdr>
      </w:pPr>
    </w:p>
    <w:p>
      <w:pPr>
        <w:pStyle w:val="Heading2"/>
        <w:spacing w:before="360" w:after="160"/>
      </w:pPr>
      <w:r>
        <w:rPr>
          <w:rFonts w:ascii="Arial" w:hAnsi="Arial"/>
          <w:color w:val="000000"/>
          <w:sz w:val="32"/>
        </w:rPr>
        <w:t>Acceptance Criteria</w:t>
      </w:r>
    </w:p>
    <w:p>
      <w:pPr>
        <w:pStyle w:val="Heading3"/>
        <w:spacing w:before="280" w:after="120"/>
      </w:pPr>
      <w:r>
        <w:rPr>
          <w:rFonts w:ascii="Arial" w:hAnsi="Arial"/>
          <w:color w:val="333333"/>
          <w:sz w:val="26"/>
        </w:rPr>
        <w:t>Per Screen</w:t>
      </w: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Heading3"/>
        <w:spacing w:before="280" w:after="120"/>
      </w:pPr>
      <w:r>
        <w:rPr>
          <w:rFonts w:ascii="Arial" w:hAnsi="Arial"/>
          <w:color w:val="333333"/>
          <w:sz w:val="26"/>
        </w:rPr>
        <w:t>Per Integration</w:t>
      </w: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pStyle w:val="ListBullet"/>
        <w:spacing w:after="80"/>
        <w:ind w:left="360"/>
      </w:pPr>
    </w:p>
    <w:p>
      <w:pPr>
        <w:spacing w:before="480" w:after="480"/>
        <w:pBdr>
          <w:bottom w:val="single" w:sz="4" w:space="1" w:color="CCCCCC"/>
        </w:pBdr>
      </w:pPr>
    </w:p>
    <w:p>
      <w:pPr>
        <w:pStyle w:val="Heading2"/>
        <w:spacing w:before="360" w:after="160"/>
      </w:pPr>
      <w:r>
        <w:rPr>
          <w:rFonts w:ascii="Arial" w:hAnsi="Arial"/>
          <w:color w:val="000000"/>
          <w:sz w:val="32"/>
        </w:rPr>
        <w:t>Sign-Off</w:t>
      </w:r>
    </w:p>
    <w:p>
      <w:pPr>
        <w:spacing w:after="160" w:line="276" w:lineRule="auto"/>
      </w:pPr>
      <w:r>
        <w:rPr>
          <w:rFonts w:ascii="Arial" w:hAnsi="Arial"/>
          <w:color w:val="000000"/>
          <w:sz w:val="22"/>
        </w:rPr>
        <w:t>Before final delivery, both parties confirm:</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rFonts w:ascii="Arial" w:hAnsi="Arial"/>
                <w:b/>
                <w:sz w:val="20"/>
              </w:rPr>
              <w:t>Item</w:t>
            </w:r>
          </w:p>
        </w:tc>
        <w:tc>
          <w:tcPr>
            <w:tcW w:type="dxa" w:w="2880"/>
            <w:shd w:fill="E6E6E1"/>
          </w:tcPr>
          <w:p>
            <w:r>
              <w:rPr>
                <w:rFonts w:ascii="Arial" w:hAnsi="Arial"/>
                <w:b/>
                <w:sz w:val="20"/>
              </w:rPr>
              <w:t>Vendor</w:t>
            </w:r>
          </w:p>
        </w:tc>
        <w:tc>
          <w:tcPr>
            <w:tcW w:type="dxa" w:w="2880"/>
            <w:shd w:fill="E6E6E1"/>
          </w:tcPr>
          <w:p>
            <w:r>
              <w:rPr>
                <w:rFonts w:ascii="Arial" w:hAnsi="Arial"/>
                <w:b/>
                <w:sz w:val="20"/>
              </w:rPr>
              <w:t>STARK</w:t>
            </w:r>
          </w:p>
        </w:tc>
      </w:tr>
      <w:tr>
        <w:tc>
          <w:tcPr>
            <w:tcW w:type="dxa" w:w="2880"/>
          </w:tcPr>
          <w:p>
            <w:r>
              <w:rPr>
                <w:rFonts w:ascii="Arial" w:hAnsi="Arial"/>
                <w:sz w:val="20"/>
              </w:rPr>
              <w:t>All IN SCOPE items delivered</w:t>
            </w:r>
          </w:p>
        </w:tc>
        <w:tc>
          <w:tcPr>
            <w:tcW w:type="dxa" w:w="2880"/>
          </w:tcPr>
          <w:p>
            <w:r>
              <w:rPr>
                <w:rFonts w:ascii="Arial" w:hAnsi="Arial"/>
                <w:sz w:val="20"/>
              </w:rPr>
              <w:t>☐</w:t>
            </w:r>
          </w:p>
        </w:tc>
        <w:tc>
          <w:tcPr>
            <w:tcW w:type="dxa" w:w="2880"/>
          </w:tcPr>
          <w:p>
            <w:r>
              <w:rPr>
                <w:rFonts w:ascii="Arial" w:hAnsi="Arial"/>
                <w:sz w:val="20"/>
              </w:rPr>
              <w:t>☐</w:t>
            </w:r>
          </w:p>
        </w:tc>
      </w:tr>
      <w:tr>
        <w:tc>
          <w:tcPr>
            <w:tcW w:type="dxa" w:w="2880"/>
          </w:tcPr>
          <w:p>
            <w:r>
              <w:rPr>
                <w:rFonts w:ascii="Arial" w:hAnsi="Arial"/>
                <w:sz w:val="20"/>
              </w:rPr>
              <w:t>All BOUNDARY interfaces documented</w:t>
            </w:r>
          </w:p>
        </w:tc>
        <w:tc>
          <w:tcPr>
            <w:tcW w:type="dxa" w:w="2880"/>
          </w:tcPr>
          <w:p>
            <w:r>
              <w:rPr>
                <w:rFonts w:ascii="Arial" w:hAnsi="Arial"/>
                <w:sz w:val="20"/>
              </w:rPr>
              <w:t>☐</w:t>
            </w:r>
          </w:p>
        </w:tc>
        <w:tc>
          <w:tcPr>
            <w:tcW w:type="dxa" w:w="2880"/>
          </w:tcPr>
          <w:p>
            <w:r>
              <w:rPr>
                <w:rFonts w:ascii="Arial" w:hAnsi="Arial"/>
                <w:sz w:val="20"/>
              </w:rPr>
              <w:t>☐</w:t>
            </w:r>
          </w:p>
        </w:tc>
      </w:tr>
      <w:tr>
        <w:tc>
          <w:tcPr>
            <w:tcW w:type="dxa" w:w="2880"/>
          </w:tcPr>
          <w:p>
            <w:r>
              <w:rPr>
                <w:rFonts w:ascii="Arial" w:hAnsi="Arial"/>
                <w:sz w:val="20"/>
              </w:rPr>
              <w:t>All OUT OF SCOPE items acknowledged</w:t>
            </w:r>
          </w:p>
        </w:tc>
        <w:tc>
          <w:tcPr>
            <w:tcW w:type="dxa" w:w="2880"/>
          </w:tcPr>
          <w:p>
            <w:r>
              <w:rPr>
                <w:rFonts w:ascii="Arial" w:hAnsi="Arial"/>
                <w:sz w:val="20"/>
              </w:rPr>
              <w:t>☐</w:t>
            </w:r>
          </w:p>
        </w:tc>
        <w:tc>
          <w:tcPr>
            <w:tcW w:type="dxa" w:w="2880"/>
          </w:tcPr>
          <w:p>
            <w:r>
              <w:rPr>
                <w:rFonts w:ascii="Arial" w:hAnsi="Arial"/>
                <w:sz w:val="20"/>
              </w:rPr>
              <w:t>☐</w:t>
            </w:r>
          </w:p>
        </w:tc>
      </w:tr>
      <w:tr>
        <w:tc>
          <w:tcPr>
            <w:tcW w:type="dxa" w:w="2880"/>
          </w:tcPr>
          <w:p>
            <w:r>
              <w:rPr>
                <w:rFonts w:ascii="Arial" w:hAnsi="Arial"/>
                <w:sz w:val="20"/>
              </w:rPr>
              <w:t>All exclusions agreed</w:t>
            </w:r>
          </w:p>
        </w:tc>
        <w:tc>
          <w:tcPr>
            <w:tcW w:type="dxa" w:w="2880"/>
          </w:tcPr>
          <w:p>
            <w:r>
              <w:rPr>
                <w:rFonts w:ascii="Arial" w:hAnsi="Arial"/>
                <w:sz w:val="20"/>
              </w:rPr>
              <w:t>☐</w:t>
            </w:r>
          </w:p>
        </w:tc>
        <w:tc>
          <w:tcPr>
            <w:tcW w:type="dxa" w:w="2880"/>
          </w:tcPr>
          <w:p>
            <w:r>
              <w:rPr>
                <w:rFonts w:ascii="Arial" w:hAnsi="Arial"/>
                <w:sz w:val="20"/>
              </w:rPr>
              <w:t>☐</w:t>
            </w:r>
          </w:p>
        </w:tc>
      </w:tr>
      <w:tr>
        <w:tc>
          <w:tcPr>
            <w:tcW w:type="dxa" w:w="2880"/>
          </w:tcPr>
          <w:p>
            <w:r>
              <w:rPr>
                <w:rFonts w:ascii="Arial" w:hAnsi="Arial"/>
                <w:sz w:val="20"/>
              </w:rPr>
              <w:t>Acceptance criteria met</w:t>
            </w:r>
          </w:p>
        </w:tc>
        <w:tc>
          <w:tcPr>
            <w:tcW w:type="dxa" w:w="2880"/>
          </w:tcPr>
          <w:p>
            <w:r>
              <w:rPr>
                <w:rFonts w:ascii="Arial" w:hAnsi="Arial"/>
                <w:sz w:val="20"/>
              </w:rPr>
              <w:t>☐</w:t>
            </w:r>
          </w:p>
        </w:tc>
        <w:tc>
          <w:tcPr>
            <w:tcW w:type="dxa" w:w="2880"/>
          </w:tcPr>
          <w:p>
            <w:r>
              <w:rPr>
                <w:rFonts w:ascii="Arial" w:hAnsi="Arial"/>
                <w:sz w:val="20"/>
              </w:rPr>
              <w:t>☐</w:t>
            </w:r>
          </w:p>
        </w:tc>
      </w:tr>
      <w:tr>
        <w:tc>
          <w:tcPr>
            <w:tcW w:type="dxa" w:w="2880"/>
          </w:tcPr>
          <w:p>
            <w:r>
              <w:rPr>
                <w:rFonts w:ascii="Arial" w:hAnsi="Arial"/>
                <w:sz w:val="20"/>
              </w:rPr>
              <w:t>Source code transferred</w:t>
            </w:r>
          </w:p>
        </w:tc>
        <w:tc>
          <w:tcPr>
            <w:tcW w:type="dxa" w:w="2880"/>
          </w:tcPr>
          <w:p>
            <w:r>
              <w:rPr>
                <w:rFonts w:ascii="Arial" w:hAnsi="Arial"/>
                <w:sz w:val="20"/>
              </w:rPr>
              <w:t>☐</w:t>
            </w:r>
          </w:p>
        </w:tc>
        <w:tc>
          <w:tcPr>
            <w:tcW w:type="dxa" w:w="2880"/>
          </w:tcPr>
          <w:p>
            <w:r>
              <w:rPr>
                <w:rFonts w:ascii="Arial" w:hAnsi="Arial"/>
                <w:sz w:val="20"/>
              </w:rPr>
              <w:t>☐</w:t>
            </w:r>
          </w:p>
        </w:tc>
      </w:tr>
      <w:tr>
        <w:tc>
          <w:tcPr>
            <w:tcW w:type="dxa" w:w="2880"/>
          </w:tcPr>
          <w:p>
            <w:r>
              <w:rPr>
                <w:rFonts w:ascii="Arial" w:hAnsi="Arial"/>
                <w:sz w:val="20"/>
              </w:rPr>
              <w:t>Documentation complete</w:t>
            </w:r>
          </w:p>
        </w:tc>
        <w:tc>
          <w:tcPr>
            <w:tcW w:type="dxa" w:w="2880"/>
          </w:tcPr>
          <w:p>
            <w:r>
              <w:rPr>
                <w:rFonts w:ascii="Arial" w:hAnsi="Arial"/>
                <w:sz w:val="20"/>
              </w:rPr>
              <w:t>☐</w:t>
            </w:r>
          </w:p>
        </w:tc>
        <w:tc>
          <w:tcPr>
            <w:tcW w:type="dxa" w:w="2880"/>
          </w:tcPr>
          <w:p>
            <w:r>
              <w:rPr>
                <w:rFonts w:ascii="Arial" w:hAnsi="Arial"/>
                <w:sz w:val="20"/>
              </w:rPr>
              <w:t>☐</w:t>
            </w:r>
          </w:p>
        </w:tc>
      </w:tr>
      <w:tr>
        <w:tc>
          <w:tcPr>
            <w:tcW w:type="dxa" w:w="2880"/>
          </w:tcPr>
          <w:p>
            <w:r>
              <w:rPr>
                <w:rFonts w:ascii="Arial" w:hAnsi="Arial"/>
                <w:sz w:val="20"/>
              </w:rPr>
              <w:t>Training delivered</w:t>
            </w:r>
          </w:p>
        </w:tc>
        <w:tc>
          <w:tcPr>
            <w:tcW w:type="dxa" w:w="2880"/>
          </w:tcPr>
          <w:p>
            <w:r>
              <w:rPr>
                <w:rFonts w:ascii="Arial" w:hAnsi="Arial"/>
                <w:sz w:val="20"/>
              </w:rPr>
              <w:t>☐</w:t>
            </w:r>
          </w:p>
        </w:tc>
        <w:tc>
          <w:tcPr>
            <w:tcW w:type="dxa" w:w="2880"/>
          </w:tcPr>
          <w:p>
            <w:r>
              <w:rPr>
                <w:rFonts w:ascii="Arial" w:hAnsi="Arial"/>
                <w:sz w:val="20"/>
              </w:rPr>
              <w:t>☐</w:t>
            </w:r>
          </w:p>
        </w:tc>
      </w:tr>
    </w:tbl>
    <w:p/>
    <w:p/>
    <w:p>
      <w:pPr>
        <w:spacing w:before="720"/>
        <w:jc w:val="center"/>
      </w:pPr>
      <w:r>
        <w:rPr>
          <w:color w:val="999999"/>
          <w:sz w:val="28"/>
        </w:rPr>
        <w:t>—</w:t>
      </w:r>
    </w:p>
    <w:p/>
    <w:p>
      <w:pPr>
        <w:jc w:val="center"/>
      </w:pPr>
      <w:r>
        <w:rPr>
          <w:rFonts w:ascii="Arial" w:hAnsi="Arial"/>
          <w:color w:val="666666"/>
          <w:sz w:val="20"/>
        </w:rPr>
        <w:t>Agentic Agency</w:t>
      </w:r>
    </w:p>
    <w:p>
      <w:pPr>
        <w:jc w:val="center"/>
      </w:pPr>
      <w:r>
        <w:rPr>
          <w:rFonts w:ascii="Arial" w:hAnsi="Arial"/>
          <w:i/>
          <w:color w:val="999999"/>
          <w:sz w:val="18"/>
        </w:rPr>
        <w:t>Engineering &gt;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