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00102202200054898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K42835</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GENERAL Y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BEATRIZ COELLO PALOMINO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CESAR AUGUSTO ALMEYDA TASAYCO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00102202200054898</w:t>
      </w:r>
      <w:r>
        <w:rPr>
          <w:rFonts w:ascii="Verdana" w:hAnsi="Verdana" w:cs="Arial"/>
          <w:b/>
          <w:bCs/>
          <w:color w:val="000000"/>
          <w:sz w:val="12"/>
          <w:szCs w:val="12"/>
        </w:rPr>
        <w:t> </w:t>
      </w:r>
      <w:r>
        <w:rPr>
          <w:rFonts w:ascii="Verdana" w:hAnsi="Verdana" w:cs="Arial"/>
          <w:color w:val="000000"/>
          <w:sz w:val="12"/>
          <w:szCs w:val="12"/>
        </w:rPr>
        <w:t> * * * * * * * * * BOT / MHR / 001-0075607 * * * * * * * * * 54898</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&lt;B10&gt;BEATRIZ COELLO PALOMINO&lt;B10&gt;, QUIEN MANIFIESTA SER DE NACIONALIDAD ESPAÑOLA, DE ESTADO CIVIL SOLTERO, DE OCUPACION INGENIERA CIVIL IDENTIFICADO CON CARNET DE EXTRANJERIA NUMERO 001517646 Y DOMICILIO PARA LOS EFECTOS EN CALLE GENERAL IGLESIAS NUMERO 769, DISTRITO DE MIRAFLORES,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BEATRIZ COELLO PALOMINO</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