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E955" w14:textId="11587A97" w:rsidR="00234BF5" w:rsidRDefault="003132EA">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r>
        <w:rPr>
          <w:rStyle w:val="Fuentedeprrafopredeter1"/>
          <w:rFonts w:ascii="Century Gothic" w:hAnsi="Century Gothic" w:cs="Arial"/>
          <w:sz w:val="28"/>
          <w:szCs w:val="28"/>
        </w:rPr>
        <w:t>CUARTA MODIFICACION</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0" w:name="__DdeLink__190_1770888379"/>
      <w:proofErr w:type="spellStart"/>
      <w:r>
        <w:rPr>
          <w:rStyle w:val="Fuentedeprrafopredeter1"/>
          <w:rFonts w:ascii="Century Gothic" w:hAnsi="Century Gothic" w:cs="Arial"/>
          <w:sz w:val="28"/>
          <w:szCs w:val="28"/>
        </w:rPr>
        <w:t>Nº</w:t>
      </w:r>
      <w:proofErr w:type="spellEnd"/>
      <w:r>
        <w:rPr>
          <w:rStyle w:val="Fuentedeprrafopredeter1"/>
          <w:rFonts w:ascii="Century Gothic" w:hAnsi="Century Gothic" w:cs="Arial"/>
          <w:sz w:val="28"/>
          <w:szCs w:val="28"/>
        </w:rPr>
        <w:t xml:space="preserve">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4D5F9140"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commentRangeStart w:id="2"/>
      <w:r>
        <w:rPr>
          <w:rStyle w:val="Fuentedeprrafopredeter1"/>
          <w:rFonts w:ascii="Arial" w:hAnsi="Arial" w:cs="Arial"/>
          <w:sz w:val="20"/>
          <w:szCs w:val="20"/>
          <w:highlight w:val="yellow"/>
        </w:rPr>
        <w:t xml:space="preserve">QUE </w:t>
        <w:commentReference w:id="2"/>
      </w:r>
      <w:commentRangeEnd w:id="2"/>
      <w:r w:rsidR="003132EA">
        <w:rPr>
          <w:rStyle w:val="Fuentedeprrafopredeter1"/>
          <w:rFonts w:ascii="Arial" w:hAnsi="Arial" w:cs="Arial"/>
          <w:sz w:val="20"/>
          <w:szCs w:val="20"/>
        </w:rPr>
        <w:t xml:space="preserve">SEGÚN LA </w:t>
      </w:r>
      <w:r w:rsidR="00F45441">
        <w:rPr>
          <w:rStyle w:val="Fuentedeprrafopredeter1"/>
          <w:rFonts w:ascii="Arial" w:hAnsi="Arial" w:cs="Arial"/>
          <w:sz w:val="20"/>
          <w:szCs w:val="20"/>
        </w:rPr>
        <w:t>TERCERA</w:t>
      </w:r>
      <w:r w:rsidR="003132EA">
        <w:rPr>
          <w:rStyle w:val="Fuentedeprrafopredeter1"/>
          <w:rFonts w:ascii="Arial" w:hAnsi="Arial" w:cs="Arial"/>
          <w:sz w:val="20"/>
          <w:szCs w:val="20"/>
        </w:rPr>
        <w:t xml:space="preserve"> MODIFICACION </w:t>
      </w:r>
      <w:r>
        <w:rPr>
          <w:rStyle w:val="Fuentedeprrafopredeter1"/>
          <w:rFonts w:ascii="Arial" w:hAnsi="Arial" w:cs="Arial"/>
          <w:sz w:val="20"/>
          <w:szCs w:val="20"/>
        </w:rPr>
        <w:t xml:space="preserve">HE TENIDO A LA VISTA EL LIBRO DENOMINADO </w:t>
      </w:r>
      <w:r>
        <w:rPr>
          <w:rStyle w:val="Fuentedeprrafopredeter1"/>
          <w:rFonts w:ascii="Arial" w:hAnsi="Arial" w:cs="Arial"/>
          <w:b/>
          <w:bCs/>
          <w:sz w:val="20"/>
          <w:szCs w:val="20"/>
        </w:rPr>
        <w:t xml:space="preserve">LIBRO DE ACTAS DE SESION DE </w:t>
      </w:r>
      <w:r w:rsidRPr="003132EA">
        <w:rPr>
          <w:rStyle w:val="Fuentedeprrafopredeter1"/>
          <w:rFonts w:ascii="Arial" w:hAnsi="Arial" w:cs="Arial"/>
          <w:b/>
          <w:bCs/>
          <w:sz w:val="20"/>
          <w:szCs w:val="20"/>
          <w:u w:val="single"/>
        </w:rPr>
        <w:t>DIRECTORIO</w:t>
      </w:r>
      <w:r>
        <w:rPr>
          <w:rStyle w:val="Fuentedeprrafopredeter1"/>
          <w:rFonts w:ascii="Arial" w:hAnsi="Arial" w:cs="Arial"/>
          <w:b/>
          <w:bCs/>
          <w:sz w:val="20"/>
          <w:szCs w:val="20"/>
        </w:rPr>
        <w:t xml:space="preserve"> N° 01,</w:t>
      </w:r>
      <w:r>
        <w:rPr>
          <w:rStyle w:val="Fuentedeprrafopredeter1"/>
          <w:rFonts w:ascii="Arial" w:hAnsi="Arial" w:cs="Arial"/>
          <w:sz w:val="20"/>
          <w:szCs w:val="20"/>
        </w:rPr>
        <w:t xml:space="preserve"> PERTENECIENTE A </w:t>
      </w:r>
      <w:bookmarkStart w:id="1" w:name="__DdeLink__171_1770888379"/>
      <w:r>
        <w:rPr>
          <w:rStyle w:val="Fuentedeprrafopredeter1"/>
          <w:rFonts w:ascii="Arial" w:hAnsi="Arial" w:cs="Arial"/>
          <w:b/>
          <w:bCs/>
          <w:sz w:val="20"/>
          <w:szCs w:val="20"/>
        </w:rPr>
        <w:t>FESEPSA S.A.</w:t>
      </w:r>
      <w:bookmarkEnd w:id="1"/>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2" w:name="__DdeLink__160_1770888379"/>
      <w:r>
        <w:rPr>
          <w:rStyle w:val="Fuentedeprrafopredeter1"/>
          <w:rFonts w:ascii="Arial" w:hAnsi="Arial" w:cs="Arial"/>
          <w:b/>
          <w:bCs/>
          <w:sz w:val="20"/>
          <w:szCs w:val="20"/>
        </w:rPr>
        <w:t>40</w:t>
      </w:r>
      <w:bookmarkEnd w:id="2"/>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3" w:name="__DdeLink__169_1770888379"/>
      <w:r>
        <w:rPr>
          <w:rStyle w:val="Fuentedeprrafopredeter1"/>
          <w:rFonts w:ascii="Arial" w:hAnsi="Arial" w:cs="Arial"/>
          <w:b/>
          <w:bCs/>
          <w:sz w:val="20"/>
          <w:szCs w:val="20"/>
        </w:rPr>
        <w:t>ACTA DE SESION DEL DIRECTORIO DE FESEPSA S.A.</w:t>
      </w:r>
      <w:bookmarkEnd w:id="3"/>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 xml:space="preserve">ACTUÓ COMO PRESIDENTE EL SEÑOR MIGUEL ANGEL BOHÓRQUEZ DEL PORTAL Y COMO SECRETARIA, LA SEÑORA MARÍA VIOLETA MERCEDES CANESSA NICOLINI DE GUERRA, QUIENES FUERON DESIGNADOS, POR UNANIMIDAD, PARA EJERCER DICHOS CARGOS EN LA </w:t>
      </w:r>
      <w:r>
        <w:rPr>
          <w:rFonts w:ascii="Arial" w:hAnsi="Arial" w:cs="Arial"/>
          <w:sz w:val="20"/>
          <w:szCs w:val="20"/>
        </w:rPr>
        <w:lastRenderedPageBreak/>
        <w:t>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73043294, COMO APODERADO A EFECTOS DE QUE EJERZA LAS FACULTADES QUE EL </w:t>
      </w:r>
      <w:r>
        <w:rPr>
          <w:rFonts w:ascii="Arial" w:hAnsi="Arial" w:cs="Arial"/>
          <w:bCs/>
          <w:sz w:val="20"/>
          <w:szCs w:val="20"/>
        </w:rPr>
        <w:lastRenderedPageBreak/>
        <w:t>DIRECTORIO CONSIDERE PERTINENTE OTORGARLE Y DE ACUERDO A LAS LIMITACIONES 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591286A7" w:rsidR="00234BF5" w:rsidRDefault="00937B78" w:rsidP="00937B78">
      <w:pPr>
        <w:pStyle w:val="Prrafodelista"/>
        <w:widowControl w:val="0"/>
        <w:tabs>
          <w:tab w:val="left" w:pos="284"/>
        </w:tabs>
        <w:spacing w:line="360" w:lineRule="exact"/>
        <w:ind w:left="0"/>
        <w:contextualSpacing w:val="0"/>
        <w:jc w:val="both"/>
        <w:rPr>
          <w:rFonts w:cs="Arial"/>
          <w:sz w:val="20"/>
        </w:rPr>
      </w:pPr>
      <w:r>
        <w:rPr>
          <w:rFonts w:cs="Arial"/>
          <w:sz w:val="20"/>
        </w:rPr>
        <w:t xml:space="preserve">A) </w:t>
      </w:r>
      <w:r w:rsidR="00153154">
        <w:rPr>
          <w:rFonts w:cs="Arial"/>
          <w:sz w:val="20"/>
        </w:rPr>
        <w:t xml:space="preserve">APROBAR EL NOMBRAMIENTO DE </w:t>
      </w:r>
      <w:r w:rsidR="00153154">
        <w:rPr>
          <w:rFonts w:eastAsia="SimSun" w:cs="Arial"/>
          <w:bCs/>
          <w:sz w:val="20"/>
        </w:rPr>
        <w:t>GUIDO FABBIO GUERRA CANESSA, DE NACIONALIDAD PERUANA, IDENTIFICADO CON DOCUMENTO NACIONAL DE IDENTIDAD N° 73043294.=========</w:t>
      </w:r>
    </w:p>
    <w:p w14:paraId="27FEC5E6" w14:textId="26CE49BB" w:rsidR="00234BF5" w:rsidRDefault="00937B78"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 xml:space="preserve">B) </w:t>
      </w:r>
      <w:r w:rsidR="00153154">
        <w:rPr>
          <w:rFonts w:eastAsia="SimSun" w:cs="Arial"/>
          <w:bCs/>
          <w:sz w:val="20"/>
        </w:rPr>
        <w:t xml:space="preserve">OTORGAR LAS SIGUIENTES FACULTADES BANCARIAS, FINANCIERAS, ADMINISTRATIVAS Y DE REPRESENTACIÓN EN FAVOR DE GUIDO FABBIO GUERRA CANESSA, DE NACIONALIDAD PERUANA, IDENTIFICADO CON DOCUMENTO NACIONAL DE IDENTIDAD </w:t>
      </w:r>
      <w:proofErr w:type="spellStart"/>
      <w:r w:rsidR="00153154">
        <w:rPr>
          <w:rFonts w:eastAsia="SimSun" w:cs="Arial"/>
          <w:bCs/>
          <w:sz w:val="20"/>
        </w:rPr>
        <w:t>N°</w:t>
      </w:r>
      <w:proofErr w:type="spellEnd"/>
      <w:r w:rsidR="00153154">
        <w:rPr>
          <w:rFonts w:eastAsia="SimSun" w:cs="Arial"/>
          <w:bCs/>
          <w:sz w:val="20"/>
        </w:rPr>
        <w:t xml:space="preserve"> 73043294:=========</w:t>
      </w:r>
    </w:p>
    <w:p w14:paraId="52EF53FD" w14:textId="0D280E97" w:rsidR="00B12AA4"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C</w:t>
      </w:r>
      <w:r w:rsidR="00B12AA4">
        <w:rPr>
          <w:rFonts w:eastAsia="SimSun" w:cs="Arial"/>
          <w:bCs/>
          <w:sz w:val="20"/>
        </w:rPr>
        <w:t>) TEXTO PARA EL TERCER CORRELATIVO</w:t>
      </w:r>
    </w:p>
    <w:p w14:paraId="73DF24AB" w14:textId="4CC74988" w:rsidR="005F3EC3"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D) OTRO PARRAFO MAS</w:t>
      </w:r>
    </w:p>
    <w:p w14:paraId="145CC857" w14:textId="4F7114F4" w:rsidR="005F3EC3" w:rsidRDefault="005F3EC3" w:rsidP="00937B78">
      <w:pPr>
        <w:pStyle w:val="Prrafodelista"/>
        <w:widowControl w:val="0"/>
        <w:tabs>
          <w:tab w:val="left" w:pos="284"/>
        </w:tabs>
        <w:spacing w:line="360" w:lineRule="exact"/>
        <w:ind w:left="0"/>
        <w:contextualSpacing w:val="0"/>
        <w:jc w:val="both"/>
        <w:rPr>
          <w:rFonts w:cs="Arial"/>
          <w:sz w:val="20"/>
        </w:rPr>
      </w:pPr>
      <w:commentRangeStart w:id="0"/>
      <w:r>
        <w:rPr>
          <w:rFonts w:eastAsia="SimSun" w:cs="Arial"/>
          <w:bCs/>
          <w:sz w:val="20"/>
          <w:highlight w:val="yellow"/>
        </w:rPr>
        <w:t>F) PARRAFO FINAL</w:t>
        <w:commentReference w:id="0"/>
      </w:r>
      <w:commentRangeEnd w:id="0"/>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lastRenderedPageBreak/>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lastRenderedPageBreak/>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 xml:space="preserve">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w:t>
      </w:r>
      <w:r>
        <w:rPr>
          <w:rFonts w:cs="Arial"/>
          <w:sz w:val="20"/>
        </w:rPr>
        <w:lastRenderedPageBreak/>
        <w:t>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Pr>
          <w:rFonts w:eastAsia="SimSun" w:cs="Arial"/>
          <w:bCs/>
          <w:sz w:val="20"/>
        </w:rPr>
        <w:t>ESTABLECER QUE GUIDO FABBIO GUERRA CANESSA, DE NACIONALIDAD PERUANA, IDENTIFICADO CON DOCUMENTO NACIONAL DE IDENTIDAD N° 73043294,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 xml:space="preserve">S PODRÁN SER EJERCIDAS DE MANERA INDIVIDUAL Y A SOLA FIRMA HASTA POR UN MONTO MÁXIMO DE US$5,000.00 O SU EQUIVALENTE EN MONEDA NACIONAL, SALVO POR LA FACULTAD DETALLADA EN EL NUMERAL 3., LA CUAL PODRÁ EJERCER DE MANERA INDIVIDUAL Y A SOLA FIRMA HASTA POR </w:t>
      </w:r>
      <w:r>
        <w:rPr>
          <w:rFonts w:eastAsia="SimSun" w:cs="Arial"/>
          <w:bCs/>
          <w:sz w:val="20"/>
        </w:rPr>
        <w:lastRenderedPageBreak/>
        <w:t>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 xml:space="preserve">ART. 105- DECRETO LEG. 1049.-“EL NOTARIO NO ASUME RESPONSABILIDAD POR EL CONTENIDO DEL LIBRO U HOJAS SUELTAS O DOCUMENTO, NI FIRMA, IDENTIDAD, </w:t>
      </w:r>
      <w:r>
        <w:rPr>
          <w:rFonts w:ascii="Arial" w:hAnsi="Arial" w:cs="Arial"/>
          <w:sz w:val="20"/>
          <w:szCs w:val="20"/>
        </w:rPr>
        <w:lastRenderedPageBreak/>
        <w:t>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4" w:name="__DdeLink__197_1770888379"/>
      <w:r>
        <w:rPr>
          <w:rFonts w:ascii="Arial Narrow" w:hAnsi="Arial Narrow"/>
          <w:b w:val="0"/>
          <w:sz w:val="16"/>
          <w:szCs w:val="16"/>
        </w:rPr>
        <w:t>00102202200054330</w:t>
      </w:r>
      <w:bookmarkEnd w:id="4"/>
      <w:r>
        <w:rPr>
          <w:rFonts w:ascii="Arial Narrow" w:hAnsi="Arial Narrow"/>
          <w:b w:val="0"/>
          <w:sz w:val="16"/>
          <w:szCs w:val="16"/>
        </w:rPr>
        <w:t>//</w:t>
      </w:r>
    </w:p>
    <w:bookmarkEnd w:id="0"/>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2T12:41:21.409239" w:id="0" w:author="BOT CONFRONT">
    <w:p>
      <w:r>
        <w:t>CORRELATIVO O REFERENCIA INCORRECTO</w:t>
      </w:r>
    </w:p>
  </w:comment>
  <w:comment w:initials="pd" w:date="2023-01-12T12:41:21.415469" w:id="2"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8FC3910"/>
    <w:multiLevelType w:val="multilevel"/>
    <w:tmpl w:val="7B24B224"/>
    <w:numStyleLink w:val="BMHeadings"/>
  </w:abstractNum>
  <w:abstractNum w:abstractNumId="5" w15:restartNumberingAfterBreak="0">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15:restartNumberingAfterBreak="0">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6198031">
    <w:abstractNumId w:val="0"/>
  </w:num>
  <w:num w:numId="2" w16cid:durableId="642347538">
    <w:abstractNumId w:val="2"/>
  </w:num>
  <w:num w:numId="3" w16cid:durableId="1241021861">
    <w:abstractNumId w:val="4"/>
  </w:num>
  <w:num w:numId="4" w16cid:durableId="14684707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58149">
    <w:abstractNumId w:val="5"/>
  </w:num>
  <w:num w:numId="6" w16cid:durableId="75827594">
    <w:abstractNumId w:val="1"/>
  </w:num>
  <w:num w:numId="7" w16cid:durableId="997224147">
    <w:abstractNumId w:val="9"/>
  </w:num>
  <w:num w:numId="8" w16cid:durableId="1154298262">
    <w:abstractNumId w:val="7"/>
  </w:num>
  <w:num w:numId="9" w16cid:durableId="782967136">
    <w:abstractNumId w:val="3"/>
  </w:num>
  <w:num w:numId="10" w16cid:durableId="1578981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30C"/>
    <w:rsid w:val="00005DBE"/>
    <w:rsid w:val="0007621B"/>
    <w:rsid w:val="00153154"/>
    <w:rsid w:val="00234BF5"/>
    <w:rsid w:val="003132EA"/>
    <w:rsid w:val="003D3CE7"/>
    <w:rsid w:val="00487199"/>
    <w:rsid w:val="004914C1"/>
    <w:rsid w:val="005F3EC3"/>
    <w:rsid w:val="00752C55"/>
    <w:rsid w:val="007D7FA4"/>
    <w:rsid w:val="007E230C"/>
    <w:rsid w:val="00823EF5"/>
    <w:rsid w:val="00937B78"/>
    <w:rsid w:val="00963FA2"/>
    <w:rsid w:val="0097326F"/>
    <w:rsid w:val="00A24BAD"/>
    <w:rsid w:val="00B12AA4"/>
    <w:rsid w:val="00BA19CC"/>
    <w:rsid w:val="00F454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15:docId w15:val="{1ABBAC74-0512-47C2-9797-682335CD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3009</Words>
  <Characters>16551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IQ PROJECT.Chacon Baquerizo, Daniel</cp:lastModifiedBy>
  <cp:revision>10</cp:revision>
  <cp:lastPrinted>2008-11-05T21:58:00Z</cp:lastPrinted>
  <dcterms:created xsi:type="dcterms:W3CDTF">2022-09-01T17:00:00Z</dcterms:created>
  <dcterms:modified xsi:type="dcterms:W3CDTF">2023-01-10T21:13:00Z</dcterms:modified>
</cp:coreProperties>
</file>