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00102202200053062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K42564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SERGIO MIGUEL HUARCAYA FAJARDO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MARIA FERNANDA BURBANO RODRIGUEZ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00102202200053062</w:t>
      </w:r>
      <w:r>
        <w:rPr>
          <w:rFonts w:ascii="Verdana" w:hAnsi="Verdana" w:cs="Arial"/>
          <w:b/>
          <w:bCs/>
          <w:color w:val="000000"/>
          <w:sz w:val="12"/>
          <w:szCs w:val="12"/>
        </w:rPr>
        <w:t> </w:t>
      </w:r>
      <w:r>
        <w:rPr>
          <w:rFonts w:ascii="Verdana" w:hAnsi="Verdana" w:cs="Arial"/>
          <w:color w:val="000000"/>
          <w:sz w:val="12"/>
          <w:szCs w:val="12"/>
        </w:rPr>
        <w:t> * * * * * * * * * BOT / VCHA / 001-0076297 * * * * * * * * * 53062</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 xml:space="preserve">&lt;B10&gt;SERGIO MIGUEL HUARCAYA FAJARDO&lt;B10&gt;, QUIEN MANIFIESTA SER DE NACIONALIDAD PERUANA, DE ESTADO CIVIL CASADO, DE OCUPACION EMPRESARIO IDENTIFICADO CON DOCUMENTO NACIONAL DE IDENTIDAD NUMERO </w:t>
      </w:r>
      <w:r>
        <w:rPr>
          <w:highlight w:val="yellow"/>
        </w:rPr>
        <w:t>09295515</w:t>
      </w:r>
      <w:r>
        <w:t xml:space="preserve">, CON DOMICILIO EN JR.FAUSTINO SANCHEZ CARRION 170 DPTO.702, DISTRITO DE MAGDALENA DEL MAR, PROVINCIA DE LIMA, DEPARTAMENTO DE LIMA.==
QUIEN PROCEDE POR SU PROPIO DERECHO.==
,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SERGIO MIGUEL HUARCAYA FAJARDO</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