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00102202200073305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K45420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CONTRATO DE DONACION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CRISTIAN RUNZER PALOMINO 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CHRISTIAN DIETER RUNZER WONG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00102202200073305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VMG / SP * * * * * * * * * 73305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&lt;B10&gt;CRISTIAN RUNZER PALOMINO&lt;B10&gt;, QUIEN MANIFIESTA SER DE NACIONALIDAD PERUANA, DE ESTADO CIVIL CASADO, DE OCUPACION MILITAR DE LA FAP IDENTIFICADO CON DOCUMENTO NACIONAL DE IDENTIDAD NUMERO 40411123, CON DOMICILIO EN PSJE. LUIS DULANTO S/N MZ. N LTE. B, URBANIZACIÓN HONOR Y LEALTAD, DISTRITO DE SANTIAGO DE SURCO, PROVINCIA DE LIMA, DEPARTAMENTO DE LIMA.==</w:t>
        <w:br/>
        <w:t>QUIEN PROCEDE POR SU PROPIO DERECHO.==</w:t>
        <w:br/>
        <w:t>&lt;B10&gt;CHRISTIAN DIETER RUNZER WONG&lt;B10&gt;, QUIEN MANIFIESTA SER DE NACIONALIDAD PERUANA, DE ESTADO CIVIL SOLTERO, DE OCUPACION EMPRESARIO IDENTIFICADO CON DOCUMENTO NACIONAL DE IDENTIDAD NUMERO 40265771 Y DOMICILIO PARA LOS EFECTOS EN AVENIDA PROLONGACION PASEO DE LA REPUBLICA N° 6941,DEPARTAMENTO N° 1001, URBANIZACION LOS GLADIOLOS, DISTRITO DE SANTIAGO DE SURCO, PROVINCIA DE LIMA, DEPARTAMENTO DE LIMA.==</w:t>
        <w:br/>
        <w:t>QUIEN PROCEDE POR SU PROPIO DERECHO.==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CRISTIAN RUNZER PALOMINO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CHRISTIAN DIETER RUNZER WONG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