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0"/>
          <w:szCs w:val="20"/>
        </w:rPr>
        <w:t xml:space="preserve">POLICY BRIEF</w:t>
      </w:r>
    </w:p>
    <w:p>
      <w:pPr>
        <w:spacing w:after="160"/>
        <w:jc w:val="center"/>
      </w:pPr>
      <w:r>
        <w:rPr>
          <w:rFonts w:ascii="Times New Roman" w:cs="Times New Roman" w:eastAsia="Times New Roman" w:hAnsi="Times New Roman"/>
          <w:b/>
          <w:bCs/>
          <w:sz w:val="34"/>
          <w:szCs w:val="34"/>
        </w:rPr>
        <w:t xml:space="preserve">Minimum Wage vs. Unemployment: What 30 Years of State‑Level Data Show</w:t>
      </w:r>
    </w:p>
    <w:p>
      <w:pPr>
        <w:spacing w:after="40"/>
        <w:jc w:val="center"/>
      </w:pPr>
      <w:r>
        <w:rPr>
          <w:rFonts w:ascii="Times New Roman" w:cs="Times New Roman" w:eastAsia="Times New Roman" w:hAnsi="Times New Roman"/>
          <w:sz w:val="21"/>
          <w:szCs w:val="21"/>
        </w:rPr>
        <w:t xml:space="preserve">Empirical Context for the Raise the Wage Act's $17 Federal Minimum Wage Proposal</w:t>
      </w:r>
    </w:p>
    <w:p>
      <w:pPr>
        <w:spacing w:after="40"/>
        <w:jc w:val="center"/>
      </w:pPr>
      <w:r>
        <w:rPr>
          <w:rFonts w:ascii="Times New Roman" w:cs="Times New Roman" w:eastAsia="Times New Roman" w:hAnsi="Times New Roman"/>
          <w:sz w:val="19"/>
          <w:szCs w:val="19"/>
        </w:rPr>
        <w:t xml:space="preserve">Prepared for: A National News Outlet's Policy &amp; Data Desk (illustrative exercise)</w:t>
      </w:r>
    </w:p>
    <w:p>
      <w:pPr>
        <w:spacing w:after="40"/>
        <w:jc w:val="center"/>
      </w:pPr>
      <w:r>
        <w:rPr>
          <w:rFonts w:ascii="Times New Roman" w:cs="Times New Roman" w:eastAsia="Times New Roman" w:hAnsi="Times New Roman"/>
          <w:sz w:val="19"/>
          <w:szCs w:val="19"/>
        </w:rPr>
        <w:t xml:space="preserve">Prepared by: Daniel Igbokwe, Quantitative Analyst</w:t>
      </w:r>
    </w:p>
    <w:p>
      <w:pPr>
        <w:spacing w:after="120"/>
        <w:jc w:val="center"/>
      </w:pPr>
      <w:r>
        <w:rPr>
          <w:rFonts w:ascii="Times New Roman" w:cs="Times New Roman" w:eastAsia="Times New Roman" w:hAnsi="Times New Roman"/>
          <w:i/>
          <w:iCs/>
          <w:sz w:val="19"/>
          <w:szCs w:val="19"/>
        </w:rPr>
        <w:t xml:space="preserve">October 2026</w:t>
      </w:r>
    </w:p>
    <w:p>
      <w:pPr>
        <w:pBdr>
          <w:bottom w:val="single" w:color="BFBFBF" w:sz="6" w:space="1"/>
        </w:pBdr>
        <w:spacing w:after="240"/>
      </w:pPr>
    </w:p>
    <w:p>
      <w:pPr>
        <w:pStyle w:val="Heading1"/>
        <w:spacing w:after="140" w:before="320"/>
      </w:pPr>
      <w:r>
        <w:rPr>
          <w:rFonts w:ascii="Times New Roman" w:cs="Times New Roman" w:eastAsia="Times New Roman" w:hAnsi="Times New Roman"/>
        </w:rPr>
        <w:t xml:space="preserve">Executive Summary</w:t>
      </w:r>
    </w:p>
    <w:p>
      <w:pPr>
        <w:spacing w:after="160" w:line="264"/>
        <w:jc w:val="both"/>
      </w:pPr>
      <w:r>
        <w:rPr>
          <w:rFonts w:ascii="Times New Roman" w:cs="Times New Roman" w:eastAsia="Times New Roman" w:hAnsi="Times New Roman"/>
          <w:b/>
          <w:bCs/>
        </w:rPr>
        <w:t xml:space="preserve">Situation. </w:t>
      </w:r>
      <w:r>
        <w:rPr>
          <w:rFonts w:ascii="Times New Roman" w:cs="Times New Roman" w:eastAsia="Times New Roman" w:hAnsi="Times New Roman"/>
        </w:rPr>
        <w:t xml:space="preserve">The federal minimum wage has not risen since 2009. Thirty states now pay more. The Raise the Wage Act would lift the federal floor to $17 by 2030 [1].</w:t>
      </w:r>
    </w:p>
    <w:p>
      <w:pPr>
        <w:spacing w:after="160" w:line="264"/>
        <w:jc w:val="both"/>
      </w:pPr>
      <w:r>
        <w:rPr>
          <w:rFonts w:ascii="Times New Roman" w:cs="Times New Roman" w:eastAsia="Times New Roman" w:hAnsi="Times New Roman"/>
          <w:b/>
          <w:bCs/>
        </w:rPr>
        <w:t xml:space="preserve">Complication. </w:t>
      </w:r>
      <w:r>
        <w:rPr>
          <w:rFonts w:ascii="Times New Roman" w:cs="Times New Roman" w:eastAsia="Times New Roman" w:hAnsi="Times New Roman"/>
        </w:rPr>
        <w:t xml:space="preserve">Opponents warn that a higher floor will cost jobs. Advocates expect it to cut poverty. Simple comparisons cannot settle the question, because recessions and state wealth distort them.</w:t>
      </w:r>
    </w:p>
    <w:p>
      <w:pPr>
        <w:spacing w:after="160" w:line="264"/>
        <w:jc w:val="both"/>
      </w:pPr>
      <w:r>
        <w:rPr>
          <w:rFonts w:ascii="Times New Roman" w:cs="Times New Roman" w:eastAsia="Times New Roman" w:hAnsi="Times New Roman"/>
          <w:b/>
          <w:bCs/>
        </w:rPr>
        <w:t xml:space="preserve">Resolution. </w:t>
      </w:r>
      <w:r>
        <w:rPr>
          <w:rFonts w:ascii="Times New Roman" w:cs="Times New Roman" w:eastAsia="Times New Roman" w:hAnsi="Times New Roman"/>
        </w:rPr>
        <w:t xml:space="preserve">We analyzed 30 years of data from all 50 states and compared each state with its own history. We found no significant link between the minimum wage and unemployment, and no significant link with poverty. We did find a significant positive link with median household income: each $1 increase coincides with $1,266 more per household.</w:t>
      </w:r>
    </w:p>
    <w:p>
      <w:pPr>
        <w:spacing w:after="160" w:line="264"/>
        <w:jc w:val="both"/>
      </w:pPr>
      <w:r>
        <w:rPr>
          <w:rFonts w:ascii="Times New Roman" w:cs="Times New Roman" w:eastAsia="Times New Roman" w:hAnsi="Times New Roman"/>
        </w:rPr>
        <w:t xml:space="preserve">The evidence suggests that the job-loss fears behind opposition to the bill may be overstated. The income effect appears real and measurable. The poverty result is inconclusive, not proof of no effect. This analysis cannot capture cuts to hours, shifts in labor force participation, or cost-of-living differences, which limit any causal claim.</w:t>
      </w:r>
    </w:p>
    <w:p>
      <w:pPr>
        <w:pStyle w:val="Heading1"/>
        <w:spacing w:after="140" w:before="320"/>
      </w:pPr>
      <w:r>
        <w:rPr>
          <w:rFonts w:ascii="Times New Roman" w:cs="Times New Roman" w:eastAsia="Times New Roman" w:hAnsi="Times New Roman"/>
        </w:rPr>
        <w:t xml:space="preserve">Background &amp; Policy Context</w:t>
      </w:r>
    </w:p>
    <w:p>
      <w:pPr>
        <w:spacing w:after="160" w:line="264"/>
        <w:jc w:val="both"/>
      </w:pPr>
      <w:r>
        <w:rPr>
          <w:rFonts w:ascii="Times New Roman" w:cs="Times New Roman" w:eastAsia="Times New Roman" w:hAnsi="Times New Roman"/>
        </w:rPr>
        <w:t xml:space="preserve">The federal minimum wage has stayed at $7.25 per hour since 2009 [2]. That is the longest stretch without a raise since Congress created the wage floor in 1938.</w:t>
      </w:r>
    </w:p>
    <w:p>
      <w:pPr>
        <w:spacing w:after="160" w:line="264"/>
        <w:jc w:val="both"/>
      </w:pPr>
      <w:r>
        <w:rPr>
          <w:rFonts w:ascii="Times New Roman" w:cs="Times New Roman" w:eastAsia="Times New Roman" w:hAnsi="Times New Roman"/>
        </w:rPr>
        <w:t xml:space="preserve">States filled the gap. In 1995, seven states paid more than the federal minimum. By 2024, 30 states did. The gap between the highest and lowest state rate grew from $1.00 to $9.03 an hour. This patchwork turned the country into a natural laboratory for wage policy.</w:t>
      </w:r>
    </w:p>
    <w:p>
      <w:pPr>
        <w:spacing w:after="160" w:line="264"/>
        <w:jc w:val="both"/>
      </w:pPr>
      <w:r>
        <w:rPr>
          <w:rFonts w:ascii="Times New Roman" w:cs="Times New Roman" w:eastAsia="Times New Roman" w:hAnsi="Times New Roman"/>
        </w:rPr>
        <w:t xml:space="preserve">The Raise the Wage Act would raise the federal minimum wage to $17 per hour by 2030 [1]. The bill revives an old debate. Classical labor theory predicts that higher wage floors reduce employment [3]. A growing body of research, starting with Card and Krueger, finds little or no job loss [4].</w:t>
      </w:r>
    </w:p>
    <w:p>
      <w:pPr>
        <w:pStyle w:val="Heading2"/>
        <w:spacing w:after="100" w:before="200"/>
      </w:pPr>
      <w:r>
        <w:rPr>
          <w:rFonts w:ascii="Times New Roman" w:cs="Times New Roman" w:eastAsia="Times New Roman" w:hAnsi="Times New Roman"/>
        </w:rPr>
        <w:t xml:space="preserve">The Debate</w:t>
      </w:r>
    </w:p>
    <w:p>
      <w:pPr>
        <w:spacing w:after="160" w:line="264"/>
        <w:jc w:val="both"/>
      </w:pPr>
      <w:r>
        <w:rPr>
          <w:rFonts w:ascii="Times New Roman" w:cs="Times New Roman" w:eastAsia="Times New Roman" w:hAnsi="Times New Roman"/>
          <w:b/>
          <w:bCs/>
        </w:rPr>
        <w:t xml:space="preserve">Opponents </w:t>
      </w:r>
      <w:r>
        <w:rPr>
          <w:rFonts w:ascii="Times New Roman" w:cs="Times New Roman" w:eastAsia="Times New Roman" w:hAnsi="Times New Roman"/>
        </w:rPr>
        <w:t xml:space="preserve">argue that raising the price of labor cuts demand for it. They expect layoffs, hiring freezes, and closures among firms with thin margins. They also argue that employers pass higher costs on to consumers and replace workers with technology sooner [5].</w:t>
      </w:r>
    </w:p>
    <w:p>
      <w:pPr>
        <w:spacing w:after="160" w:line="264"/>
        <w:jc w:val="both"/>
      </w:pPr>
      <w:r>
        <w:rPr>
          <w:rFonts w:ascii="Times New Roman" w:cs="Times New Roman" w:eastAsia="Times New Roman" w:hAnsi="Times New Roman"/>
          <w:b/>
          <w:bCs/>
        </w:rPr>
        <w:t xml:space="preserve">Advocates </w:t>
      </w:r>
      <w:r>
        <w:rPr>
          <w:rFonts w:ascii="Times New Roman" w:cs="Times New Roman" w:eastAsia="Times New Roman" w:hAnsi="Times New Roman"/>
        </w:rPr>
        <w:t xml:space="preserve">argue that higher wages lift low-income households out of poverty. Workers spend the extra income, which supports demand. Better pay also improves morale, reduces costly turnover, and lowers reliance on public assistance [6].</w:t>
      </w:r>
    </w:p>
    <w:p>
      <w:pPr>
        <w:spacing w:after="160" w:line="264"/>
        <w:jc w:val="both"/>
      </w:pPr>
      <w:r>
        <w:rPr>
          <w:rFonts w:ascii="Times New Roman" w:cs="Times New Roman" w:eastAsia="Times New Roman" w:hAnsi="Times New Roman"/>
        </w:rPr>
        <w:t xml:space="preserve">This brief tests only part of the debate. Its three outcomes, unemployment, poverty, and household income, can support or challenge the job-loss and poverty claims. They cannot test claims about prices, automation, productivity, or turnover. Those need different data, such as pricing records, capital investment, or employer surveys.</w:t>
      </w:r>
    </w:p>
    <w:p>
      <w:pPr>
        <w:spacing w:after="160" w:line="264"/>
        <w:jc w:val="both"/>
      </w:pPr>
      <w:r>
        <w:rPr>
          <w:rFonts w:ascii="Times New Roman" w:cs="Times New Roman" w:eastAsia="Times New Roman" w:hAnsi="Times New Roman"/>
        </w:rPr>
        <w:t xml:space="preserve">This brief does not take a position on the proposal. It brings decades of state-level evidence to the empirical parts of the debate, so that data, not priors, can ground the discussion.</w:t>
      </w:r>
    </w:p>
    <w:p>
      <w:pPr>
        <w:pStyle w:val="Heading1"/>
        <w:spacing w:after="140" w:before="320"/>
      </w:pPr>
      <w:r>
        <w:rPr>
          <w:rFonts w:ascii="Times New Roman" w:cs="Times New Roman" w:eastAsia="Times New Roman" w:hAnsi="Times New Roman"/>
        </w:rPr>
        <w:t xml:space="preserve">Data &amp; Methodology</w:t>
      </w:r>
    </w:p>
    <w:p>
      <w:pPr>
        <w:pStyle w:val="Heading2"/>
        <w:spacing w:after="100" w:before="200"/>
      </w:pPr>
      <w:r>
        <w:rPr>
          <w:rFonts w:ascii="Times New Roman" w:cs="Times New Roman" w:eastAsia="Times New Roman" w:hAnsi="Times New Roman"/>
        </w:rPr>
        <w:t xml:space="preserve">Data Sources</w:t>
      </w:r>
    </w:p>
    <w:p>
      <w:pPr>
        <w:spacing w:after="160" w:line="264"/>
        <w:jc w:val="both"/>
      </w:pPr>
      <w:r>
        <w:rPr>
          <w:rFonts w:ascii="Times New Roman" w:cs="Times New Roman" w:eastAsia="Times New Roman" w:hAnsi="Times New Roman"/>
        </w:rPr>
        <w:t xml:space="preserve">We sourced all four variables from the Federal Reserve Economic Data (FRED) API. Using one source meant we only had to match state identifiers, not reconcile formats across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200"/>
        <w:gridCol w:w="2000"/>
      </w:tblGrid>
      <w:tr>
        <w:trPr>
          <w:tblHeader/>
        </w:trPr>
        <w:tc>
          <w:tcPr>
            <w:tcW w:type="dxa" w:w="2400"/>
            <w:tcBorders>
              <w:top w:val="single" w:color="808080" w:sz="4"/>
              <w:left w:val="none" w:color="FFFFFF" w:sz="0"/>
              <w:bottom w:val="single" w:color="808080" w:sz="4"/>
              <w:right w:val="none" w:color="FFFFFF" w:sz="0"/>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Variable</w:t>
            </w:r>
          </w:p>
        </w:tc>
        <w:tc>
          <w:tcPr>
            <w:tcW w:type="dxa" w:w="2760"/>
            <w:tcBorders>
              <w:top w:val="single" w:color="808080" w:sz="4"/>
              <w:left w:val="none" w:color="FFFFFF" w:sz="0"/>
              <w:bottom w:val="single" w:color="808080" w:sz="4"/>
              <w:right w:val="none" w:color="FFFFFF" w:sz="0"/>
            </w:tcBorders>
            <w:shd w:fill="F2F2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FRED series</w:t>
            </w:r>
          </w:p>
        </w:tc>
        <w:tc>
          <w:tcPr>
            <w:tcW w:type="dxa" w:w="2200"/>
            <w:tcBorders>
              <w:top w:val="single" w:color="808080" w:sz="4"/>
              <w:left w:val="none" w:color="FFFFFF" w:sz="0"/>
              <w:bottom w:val="single" w:color="808080" w:sz="4"/>
              <w:right w:val="none" w:color="FFFFFF" w:sz="0"/>
            </w:tcBorders>
            <w:shd w:fill="F2F2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Original source</w:t>
            </w:r>
          </w:p>
        </w:tc>
        <w:tc>
          <w:tcPr>
            <w:tcW w:type="dxa" w:w="2000"/>
            <w:tcBorders>
              <w:top w:val="single" w:color="808080" w:sz="4"/>
              <w:left w:val="none" w:color="FFFFFF" w:sz="0"/>
              <w:bottom w:val="single" w:color="808080" w:sz="4"/>
              <w:right w:val="none" w:color="FFFFFF" w:sz="0"/>
            </w:tcBorders>
            <w:shd w:fill="F2F2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Frequency</w:t>
            </w:r>
          </w:p>
        </w:tc>
      </w:tr>
      <w:tr>
        <w:tc>
          <w:tcPr>
            <w:tcW w:type="dxa" w:w="24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Unemployment rate</w:t>
            </w:r>
          </w:p>
        </w:tc>
        <w:tc>
          <w:tcPr>
            <w:tcW w:type="dxa" w:w="276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{STATE}UR</w:t>
            </w:r>
          </w:p>
        </w:tc>
        <w:tc>
          <w:tcPr>
            <w:tcW w:type="dxa" w:w="22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Bureau of Labor Statistics</w:t>
            </w:r>
          </w:p>
        </w:tc>
        <w:tc>
          <w:tcPr>
            <w:tcW w:type="dxa" w:w="20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Monthly, seasonally adjusted</w:t>
            </w:r>
          </w:p>
        </w:tc>
      </w:tr>
      <w:tr>
        <w:tc>
          <w:tcPr>
            <w:tcW w:type="dxa" w:w="24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State minimum wage</w:t>
            </w:r>
          </w:p>
        </w:tc>
        <w:tc>
          <w:tcPr>
            <w:tcW w:type="dxa" w:w="276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STTMINWG{STATE}</w:t>
            </w:r>
          </w:p>
        </w:tc>
        <w:tc>
          <w:tcPr>
            <w:tcW w:type="dxa" w:w="22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Department of Labor</w:t>
            </w:r>
          </w:p>
        </w:tc>
        <w:tc>
          <w:tcPr>
            <w:tcW w:type="dxa" w:w="20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Annual</w:t>
            </w:r>
          </w:p>
        </w:tc>
      </w:tr>
      <w:tr>
        <w:tc>
          <w:tcPr>
            <w:tcW w:type="dxa" w:w="24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Median household income</w:t>
            </w:r>
          </w:p>
        </w:tc>
        <w:tc>
          <w:tcPr>
            <w:tcW w:type="dxa" w:w="276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MEHOINUS{STATE}A646N</w:t>
            </w:r>
          </w:p>
        </w:tc>
        <w:tc>
          <w:tcPr>
            <w:tcW w:type="dxa" w:w="22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Census Bureau</w:t>
            </w:r>
          </w:p>
        </w:tc>
        <w:tc>
          <w:tcPr>
            <w:tcW w:type="dxa" w:w="20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Annual</w:t>
            </w:r>
          </w:p>
        </w:tc>
      </w:tr>
      <w:tr>
        <w:tc>
          <w:tcPr>
            <w:tcW w:type="dxa" w:w="24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Poverty rate</w:t>
            </w:r>
          </w:p>
        </w:tc>
        <w:tc>
          <w:tcPr>
            <w:tcW w:type="dxa" w:w="276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PPAA{STATE}{FIPS}A156NCEN</w:t>
            </w:r>
          </w:p>
        </w:tc>
        <w:tc>
          <w:tcPr>
            <w:tcW w:type="dxa" w:w="22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Census SAIPE program</w:t>
            </w:r>
          </w:p>
        </w:tc>
        <w:tc>
          <w:tcPr>
            <w:tcW w:type="dxa" w:w="20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Annual</w:t>
            </w:r>
          </w:p>
        </w:tc>
      </w:tr>
    </w:tbl>
    <w:p>
      <w:pPr>
        <w:spacing w:after="240" w:before="80"/>
        <w:jc w:val="center"/>
      </w:pPr>
      <w:r>
        <w:rPr>
          <w:rFonts w:ascii="Times New Roman" w:cs="Times New Roman" w:eastAsia="Times New Roman" w:hAnsi="Times New Roman"/>
          <w:i/>
          <w:iCs/>
          <w:sz w:val="20"/>
          <w:szCs w:val="20"/>
        </w:rPr>
        <w:t xml:space="preserve">Table 1. Panel variables and sources</w:t>
      </w:r>
    </w:p>
    <w:p>
      <w:pPr>
        <w:spacing w:after="160" w:line="264"/>
        <w:jc w:val="both"/>
      </w:pPr>
      <w:r>
        <w:rPr>
          <w:rFonts w:ascii="Times New Roman" w:cs="Times New Roman" w:eastAsia="Times New Roman" w:hAnsi="Times New Roman"/>
        </w:rPr>
        <w:t xml:space="preserve">FRED reports each state's own statutory wage. That rate can sit below the federal floor, and federal law requires employers to pay the higher of the two. We therefore use the </w:t>
      </w:r>
      <w:r>
        <w:rPr>
          <w:rFonts w:ascii="Times New Roman" w:cs="Times New Roman" w:eastAsia="Times New Roman" w:hAnsi="Times New Roman"/>
          <w:b/>
          <w:bCs/>
        </w:rPr>
        <w:t xml:space="preserve">effective minimum wage</w:t>
      </w:r>
      <w:r>
        <w:rPr>
          <w:rFonts w:ascii="Times New Roman" w:cs="Times New Roman" w:eastAsia="Times New Roman" w:hAnsi="Times New Roman"/>
        </w:rPr>
        <w:t xml:space="preserve">: the higher of the state and federal rate for each year. States without their own law, or with gaps in their series, take the federal rate for those years.</w:t>
      </w:r>
    </w:p>
    <w:p>
      <w:pPr>
        <w:spacing w:after="160" w:line="264"/>
        <w:jc w:val="both"/>
      </w:pPr>
      <w:r>
        <w:rPr>
          <w:rFonts w:ascii="Times New Roman" w:cs="Times New Roman" w:eastAsia="Times New Roman" w:hAnsi="Times New Roman"/>
        </w:rPr>
        <w:t xml:space="preserve">Unemployment arrives monthly. We averaged the 12 months into one calendar-year value to match the other three variables.</w:t>
      </w:r>
    </w:p>
    <w:p>
      <w:pPr>
        <w:pStyle w:val="Heading2"/>
        <w:spacing w:after="100" w:before="200"/>
      </w:pPr>
      <w:r>
        <w:rPr>
          <w:rFonts w:ascii="Times New Roman" w:cs="Times New Roman" w:eastAsia="Times New Roman" w:hAnsi="Times New Roman"/>
        </w:rPr>
        <w:t xml:space="preserve">Panel Window: 1995-2024</w:t>
      </w:r>
    </w:p>
    <w:p>
      <w:pPr>
        <w:spacing w:after="160" w:line="264"/>
        <w:jc w:val="both"/>
      </w:pPr>
      <w:r>
        <w:rPr>
          <w:rFonts w:ascii="Times New Roman" w:cs="Times New Roman" w:eastAsia="Times New Roman" w:hAnsi="Times New Roman"/>
        </w:rPr>
        <w:t xml:space="preserve">The Census SAIPE program, which produces the poverty data, published no state estimates for 1990, 1991, 1992, or 1994. Only isolated estimates exist for 1989 and 1993. We start the panel in 1995, where all four variables run continuously through 2024.</w:t>
      </w:r>
    </w:p>
    <w:p>
      <w:pPr>
        <w:spacing w:after="160" w:line="264"/>
        <w:jc w:val="both"/>
      </w:pPr>
      <w:r>
        <w:rPr>
          <w:rFonts w:ascii="Times New Roman" w:cs="Times New Roman" w:eastAsia="Times New Roman" w:hAnsi="Times New Roman"/>
        </w:rPr>
        <w:t xml:space="preserve">This is a deliberate scope decision, and it costs little. The panel's two richest natural experiments both fall inside it: the federal freeze at $5.15 (1997-2007) and the freeze at $7.25 (2009-2024). States diverged most during these freezes.</w:t>
      </w:r>
    </w:p>
    <w:p>
      <w:pPr>
        <w:spacing w:after="160" w:line="264"/>
        <w:jc w:val="both"/>
      </w:pPr>
      <w:r>
        <w:rPr>
          <w:rFonts w:ascii="Times New Roman" w:cs="Times New Roman" w:eastAsia="Times New Roman" w:hAnsi="Times New Roman"/>
        </w:rPr>
        <w:t xml:space="preserve">The final panel covers 50 states over 30 years: 1,500 state-year observations, with no missing values and no duplicate keys.</w:t>
      </w:r>
    </w:p>
    <w:p>
      <w:pPr>
        <w:pStyle w:val="Heading2"/>
        <w:spacing w:after="100" w:before="200"/>
      </w:pPr>
      <w:r>
        <w:rPr>
          <w:rFonts w:ascii="Times New Roman" w:cs="Times New Roman" w:eastAsia="Times New Roman" w:hAnsi="Times New Roman"/>
        </w:rPr>
        <w:t xml:space="preserve">Method</w:t>
      </w:r>
    </w:p>
    <w:p>
      <w:pPr>
        <w:spacing w:after="160" w:line="264"/>
        <w:jc w:val="both"/>
      </w:pPr>
      <w:r>
        <w:rPr>
          <w:rFonts w:ascii="Times New Roman" w:cs="Times New Roman" w:eastAsia="Times New Roman" w:hAnsi="Times New Roman"/>
        </w:rPr>
        <w:t xml:space="preserve">We use a panel regression with state and year fixed effects. State fixed effects remove differences that stay constant within a state, such as cost of living, industry mix, and labor market structure. Year fixed effects remove shocks that hit every state at once, such as recessions and national monetary policy. What remains is the within-state relationship between minimum wage changes and each outcome over time.</w:t>
      </w:r>
    </w:p>
    <w:p>
      <w:pPr>
        <w:spacing w:after="160" w:line="264"/>
        <w:jc w:val="both"/>
      </w:pPr>
      <w:r>
        <w:rPr>
          <w:rFonts w:ascii="Times New Roman" w:cs="Times New Roman" w:eastAsia="Times New Roman" w:hAnsi="Times New Roman"/>
        </w:rPr>
        <w:t xml:space="preserve">This design is far stronger than a national before-and-after comparison. We cluster standard errors by state, because each state's outcomes are correlated from year to year.</w:t>
      </w:r>
    </w:p>
    <w:p>
      <w:pPr>
        <w:spacing w:after="160" w:line="264"/>
        <w:jc w:val="both"/>
      </w:pPr>
      <w:r>
        <w:rPr>
          <w:rFonts w:ascii="Times New Roman" w:cs="Times New Roman" w:eastAsia="Times New Roman" w:hAnsi="Times New Roman"/>
        </w:rPr>
        <w:t xml:space="preserve">This is not a randomized experiment. It is an observational, quasi-experimental design that treats state wage increases as natural experiments. Labor economists use this approach widely, but it has real limits, which we discuss below.</w:t>
      </w:r>
    </w:p>
    <w:p>
      <w:pPr>
        <w:pStyle w:val="Heading1"/>
        <w:spacing w:after="140" w:before="320"/>
      </w:pPr>
      <w:r>
        <w:rPr>
          <w:rFonts w:ascii="Times New Roman" w:cs="Times New Roman" w:eastAsia="Times New Roman" w:hAnsi="Times New Roman"/>
        </w:rPr>
        <w:t xml:space="preserve">Exploratory Data Analysis</w:t>
      </w:r>
    </w:p>
    <w:p>
      <w:pPr>
        <w:spacing w:after="160" w:line="264"/>
        <w:jc w:val="both"/>
      </w:pPr>
      <w:r>
        <w:rPr>
          <w:rFonts w:ascii="Times New Roman" w:cs="Times New Roman" w:eastAsia="Times New Roman" w:hAnsi="Times New Roman"/>
        </w:rPr>
        <w:t xml:space="preserve">We ran three checks before modeling.</w:t>
      </w:r>
    </w:p>
    <w:p>
      <w:pPr>
        <w:spacing w:after="160" w:line="264"/>
        <w:jc w:val="both"/>
      </w:pPr>
      <w:r>
        <w:rPr>
          <w:rFonts w:ascii="Times New Roman" w:cs="Times New Roman" w:eastAsia="Times New Roman" w:hAnsi="Times New Roman"/>
          <w:b/>
          <w:bCs/>
        </w:rPr>
        <w:t xml:space="preserve">First, state wage policies diverged sharply. </w:t>
      </w:r>
      <w:r>
        <w:rPr>
          <w:rFonts w:ascii="Times New Roman" w:cs="Times New Roman" w:eastAsia="Times New Roman" w:hAnsi="Times New Roman"/>
        </w:rPr>
        <w:t xml:space="preserve">A $1.00 gap in 1995 grew to $9.03 by 2024, and the divergence sped up after 2014 (Figure 01). This confirms that the data hold real variation for a fixed-effects design to use.</w:t>
      </w:r>
    </w:p>
    <w:p>
      <w:pPr>
        <w:keepNext/>
        <w:spacing w:after="80" w:before="160"/>
        <w:jc w:val="center"/>
      </w:pPr>
      <w:r>
        <w:drawing>
          <wp:inline distT="0" distB="0" distL="0" distR="0">
            <wp:extent cx="5486400" cy="3152775"/>
            <wp:effectExtent t="0" r="0" b="0" l="0"/>
            <wp:docPr id="1" name="01_min_wage_trajectory.png" descr="Minimum Wage Across States, 1995-2024" title="Figure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1527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01. Minimum Wage Across States, 1995-2024</w:t>
      </w:r>
    </w:p>
    <w:p>
      <w:pPr>
        <w:spacing w:after="160" w:line="264"/>
        <w:jc w:val="both"/>
      </w:pPr>
      <w:r>
        <w:rPr>
          <w:rFonts w:ascii="Times New Roman" w:cs="Times New Roman" w:eastAsia="Times New Roman" w:hAnsi="Times New Roman"/>
          <w:b/>
          <w:bCs/>
        </w:rPr>
        <w:t xml:space="preserve">Second, unemployment moved together regardless of wage policy. </w:t>
      </w:r>
      <w:r>
        <w:rPr>
          <w:rFonts w:ascii="Times New Roman" w:cs="Times New Roman" w:eastAsia="Times New Roman" w:hAnsi="Times New Roman"/>
        </w:rPr>
        <w:t xml:space="preserve">States with very different wage paths rose and fell in the same shape and at the same time (Figure 02). All six spiked in 2001-03, 2008-09, and 2020. These shared national shocks are what year fixed effects absorb.</w:t>
      </w:r>
    </w:p>
    <w:p>
      <w:pPr>
        <w:keepNext/>
        <w:spacing w:after="80" w:before="160"/>
        <w:jc w:val="center"/>
      </w:pPr>
      <w:r>
        <w:drawing>
          <wp:inline distT="0" distB="0" distL="0" distR="0">
            <wp:extent cx="5486400" cy="3771900"/>
            <wp:effectExtent t="0" r="0" b="0" l="0"/>
            <wp:docPr id="2" name="02_unemployment_overlay.png" descr="Unemployment Rate Across the Same Six States, 1995-2024" title="Figure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7719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02. Unemployment Rate Across the Same Six States, 1995-2024</w:t>
      </w:r>
    </w:p>
    <w:p>
      <w:pPr>
        <w:spacing w:after="160" w:line="264"/>
        <w:jc w:val="both"/>
      </w:pPr>
      <w:r>
        <w:rPr>
          <w:rFonts w:ascii="Times New Roman" w:cs="Times New Roman" w:eastAsia="Times New Roman" w:hAnsi="Times New Roman"/>
          <w:b/>
          <w:bCs/>
        </w:rPr>
        <w:t xml:space="preserve">Third, raw correlations mix policy with place. </w:t>
      </w:r>
      <w:r>
        <w:rPr>
          <w:rFonts w:ascii="Times New Roman" w:cs="Times New Roman" w:eastAsia="Times New Roman" w:hAnsi="Times New Roman"/>
        </w:rPr>
        <w:t xml:space="preserve">The minimum wage shows almost no raw correlation with unemployment (r = 0.01) or poverty (r = -0.06). It shows a strong correlation with median income (r = 0.80) (Figure 03). We treat that income link with caution. High-wage states tend to be wealthier and more urban for reasons unrelated to wage policy. State fixed effects remove exactly this confound.</w:t>
      </w:r>
    </w:p>
    <w:p>
      <w:pPr>
        <w:keepNext/>
        <w:spacing w:after="80" w:before="160"/>
        <w:jc w:val="center"/>
      </w:pPr>
      <w:r>
        <w:drawing>
          <wp:inline distT="0" distB="0" distL="0" distR="0">
            <wp:extent cx="3933825" cy="3257550"/>
            <wp:effectExtent t="0" r="0" b="0" l="0"/>
            <wp:docPr id="3" name="03_correlation_heatmap.png" descr="Correlation Matrix: Minimum Wage &amp; Economic Indicators" title="Figure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32575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03. Correlation Matrix: Minimum Wage &amp; Economic Indicators</w:t>
      </w:r>
    </w:p>
    <w:p>
      <w:pPr>
        <w:pStyle w:val="Heading1"/>
        <w:spacing w:after="140" w:before="320"/>
      </w:pPr>
      <w:r>
        <w:rPr>
          <w:rFonts w:ascii="Times New Roman" w:cs="Times New Roman" w:eastAsia="Times New Roman" w:hAnsi="Times New Roman"/>
        </w:rPr>
        <w:t xml:space="preserve">Findings</w:t>
      </w:r>
    </w:p>
    <w:p>
      <w:pPr>
        <w:spacing w:after="160" w:line="264"/>
        <w:jc w:val="both"/>
      </w:pPr>
      <w:r>
        <w:rPr>
          <w:rFonts w:ascii="Times New Roman" w:cs="Times New Roman" w:eastAsia="Times New Roman" w:hAnsi="Times New Roman"/>
        </w:rPr>
        <w:t xml:space="preserve">Figure 04 and Table 2 summarize the three regressions. Each shows the estimated effect of a $1 higher minimum wage.</w:t>
      </w:r>
    </w:p>
    <w:p>
      <w:pPr>
        <w:keepNext/>
        <w:spacing w:after="80" w:before="160"/>
        <w:jc w:val="center"/>
      </w:pPr>
      <w:r>
        <w:drawing>
          <wp:inline distT="0" distB="0" distL="0" distR="0">
            <wp:extent cx="5762625" cy="3086100"/>
            <wp:effectExtent t="0" r="0" b="0" l="0"/>
            <wp:docPr id="4" name="04_regression_results.png" descr="Fixed-Effects Regression Results with 95% Confidence Intervals" title="Figure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861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04. Fixed-Effects Regression Results with 95%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00"/>
        <w:gridCol w:w="1200"/>
        <w:gridCol w:w="2000"/>
        <w:gridCol w:w="2000"/>
      </w:tblGrid>
      <w:tr>
        <w:trPr>
          <w:tblHeader/>
        </w:trPr>
        <w:tc>
          <w:tcPr>
            <w:tcW w:type="dxa" w:w="2760"/>
            <w:tcBorders>
              <w:top w:val="single" w:color="808080" w:sz="4"/>
              <w:left w:val="none" w:color="FFFFFF" w:sz="0"/>
              <w:bottom w:val="single" w:color="808080" w:sz="4"/>
              <w:right w:val="none" w:color="FFFFFF" w:sz="0"/>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Outcome</w:t>
            </w:r>
          </w:p>
        </w:tc>
        <w:tc>
          <w:tcPr>
            <w:tcW w:type="dxa" w:w="1400"/>
            <w:tcBorders>
              <w:top w:val="single" w:color="808080" w:sz="4"/>
              <w:left w:val="none" w:color="FFFFFF" w:sz="0"/>
              <w:bottom w:val="single" w:color="808080" w:sz="4"/>
              <w:right w:val="none" w:color="FFFFFF" w:sz="0"/>
            </w:tcBorders>
            <w:shd w:fill="F2F2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Coefficient</w:t>
            </w:r>
          </w:p>
        </w:tc>
        <w:tc>
          <w:tcPr>
            <w:tcW w:type="dxa" w:w="1200"/>
            <w:tcBorders>
              <w:top w:val="single" w:color="808080" w:sz="4"/>
              <w:left w:val="none" w:color="FFFFFF" w:sz="0"/>
              <w:bottom w:val="single" w:color="808080" w:sz="4"/>
              <w:right w:val="none" w:color="FFFFFF" w:sz="0"/>
            </w:tcBorders>
            <w:shd w:fill="F2F2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P-value</w:t>
            </w:r>
          </w:p>
        </w:tc>
        <w:tc>
          <w:tcPr>
            <w:tcW w:type="dxa" w:w="2000"/>
            <w:tcBorders>
              <w:top w:val="single" w:color="808080" w:sz="4"/>
              <w:left w:val="none" w:color="FFFFFF" w:sz="0"/>
              <w:bottom w:val="single" w:color="808080" w:sz="4"/>
              <w:right w:val="none" w:color="FFFFFF" w:sz="0"/>
            </w:tcBorders>
            <w:shd w:fill="F2F2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95% CI</w:t>
            </w:r>
          </w:p>
        </w:tc>
        <w:tc>
          <w:tcPr>
            <w:tcW w:type="dxa" w:w="2000"/>
            <w:tcBorders>
              <w:top w:val="single" w:color="808080" w:sz="4"/>
              <w:left w:val="none" w:color="FFFFFF" w:sz="0"/>
              <w:bottom w:val="single" w:color="808080" w:sz="4"/>
              <w:right w:val="none" w:color="FFFFFF" w:sz="0"/>
            </w:tcBorders>
            <w:shd w:fill="F2F2F2" w:color="auto"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Result</w:t>
            </w:r>
          </w:p>
        </w:tc>
      </w:tr>
      <w:tr>
        <w:tc>
          <w:tcPr>
            <w:tcW w:type="dxa" w:w="276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Unemployment rate (%)</w:t>
            </w:r>
          </w:p>
        </w:tc>
        <w:tc>
          <w:tcPr>
            <w:tcW w:type="dxa" w:w="14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0.036</w:t>
            </w:r>
          </w:p>
        </w:tc>
        <w:tc>
          <w:tcPr>
            <w:tcW w:type="dxa" w:w="12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0.312</w:t>
            </w:r>
          </w:p>
        </w:tc>
        <w:tc>
          <w:tcPr>
            <w:tcW w:type="dxa" w:w="20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-0.034 to 0.107</w:t>
            </w:r>
          </w:p>
        </w:tc>
        <w:tc>
          <w:tcPr>
            <w:tcW w:type="dxa" w:w="20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Not significant</w:t>
            </w:r>
          </w:p>
        </w:tc>
      </w:tr>
      <w:tr>
        <w:tc>
          <w:tcPr>
            <w:tcW w:type="dxa" w:w="276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Poverty rate (%)</w:t>
            </w:r>
          </w:p>
        </w:tc>
        <w:tc>
          <w:tcPr>
            <w:tcW w:type="dxa" w:w="14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0.025</w:t>
            </w:r>
          </w:p>
        </w:tc>
        <w:tc>
          <w:tcPr>
            <w:tcW w:type="dxa" w:w="12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0.690</w:t>
            </w:r>
          </w:p>
        </w:tc>
        <w:tc>
          <w:tcPr>
            <w:tcW w:type="dxa" w:w="20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-0.099 to 0.150</w:t>
            </w:r>
          </w:p>
        </w:tc>
        <w:tc>
          <w:tcPr>
            <w:tcW w:type="dxa" w:w="20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Not significant</w:t>
            </w:r>
          </w:p>
        </w:tc>
      </w:tr>
      <w:tr>
        <w:tc>
          <w:tcPr>
            <w:tcW w:type="dxa" w:w="276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Median household income ($)</w:t>
            </w:r>
          </w:p>
        </w:tc>
        <w:tc>
          <w:tcPr>
            <w:tcW w:type="dxa" w:w="14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1,265.50</w:t>
            </w:r>
          </w:p>
        </w:tc>
        <w:tc>
          <w:tcPr>
            <w:tcW w:type="dxa" w:w="12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0.0001</w:t>
            </w:r>
          </w:p>
        </w:tc>
        <w:tc>
          <w:tcPr>
            <w:tcW w:type="dxa" w:w="20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635.53 to 1,895.50</w:t>
            </w:r>
          </w:p>
        </w:tc>
        <w:tc>
          <w:tcPr>
            <w:tcW w:type="dxa" w:w="2000"/>
            <w:tcBorders>
              <w:top w:val="none" w:color="FFFFFF" w:sz="0"/>
              <w:left w:val="none" w:color="FFFFFF" w:sz="0"/>
              <w:bottom w:val="single" w:color="80808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Significant, positive</w:t>
            </w:r>
          </w:p>
        </w:tc>
      </w:tr>
    </w:tbl>
    <w:p>
      <w:pPr>
        <w:spacing w:after="240" w:before="80"/>
        <w:jc w:val="center"/>
      </w:pPr>
      <w:r>
        <w:rPr>
          <w:rFonts w:ascii="Times New Roman" w:cs="Times New Roman" w:eastAsia="Times New Roman" w:hAnsi="Times New Roman"/>
          <w:i/>
          <w:iCs/>
          <w:sz w:val="20"/>
          <w:szCs w:val="20"/>
        </w:rPr>
        <w:t xml:space="preserve">Table 2. Effect of a $1 increase in the effective minimum wage (state and year fixed effects, n = 1,500)</w:t>
      </w:r>
    </w:p>
    <w:p>
      <w:pPr>
        <w:pStyle w:val="Heading3"/>
        <w:spacing w:after="80" w:before="200"/>
      </w:pPr>
      <w:r>
        <w:rPr>
          <w:rFonts w:ascii="Times New Roman" w:cs="Times New Roman" w:eastAsia="Times New Roman" w:hAnsi="Times New Roman"/>
        </w:rPr>
        <w:t xml:space="preserve">Finding 1: Unemployment</w:t>
      </w:r>
    </w:p>
    <w:p>
      <w:pPr>
        <w:spacing w:after="160" w:line="264"/>
        <w:jc w:val="both"/>
      </w:pPr>
      <w:r>
        <w:rPr>
          <w:rFonts w:ascii="Times New Roman" w:cs="Times New Roman" w:eastAsia="Times New Roman" w:hAnsi="Times New Roman"/>
        </w:rPr>
        <w:t xml:space="preserve">We find no statistically significant link between minimum wage increases and state unemployment (coefficient: 0.036, p = 0.312). A $1 increase moves the unemployment rate by just 0.04 percentage points. Even the upper bound of the confidence interval is small, at 0.11 points. This null result matches the literature since Card and Krueger, which finds smaller job losses than classical models predict [4].</w:t>
      </w:r>
    </w:p>
    <w:p>
      <w:pPr>
        <w:pStyle w:val="Heading3"/>
        <w:spacing w:after="80" w:before="200"/>
      </w:pPr>
      <w:r>
        <w:rPr>
          <w:rFonts w:ascii="Times New Roman" w:cs="Times New Roman" w:eastAsia="Times New Roman" w:hAnsi="Times New Roman"/>
        </w:rPr>
        <w:t xml:space="preserve">Finding 2: Poverty Rate</w:t>
      </w:r>
    </w:p>
    <w:p>
      <w:pPr>
        <w:spacing w:after="160" w:line="264"/>
        <w:jc w:val="both"/>
      </w:pPr>
      <w:r>
        <w:rPr>
          <w:rFonts w:ascii="Times New Roman" w:cs="Times New Roman" w:eastAsia="Times New Roman" w:hAnsi="Times New Roman"/>
        </w:rPr>
        <w:t xml:space="preserve">States that raised their minimum wage showed no significant change in poverty (coefficient: 0.025, p = 0.690). The confidence interval spans both negative and positive values. In this sample, the minimum wage does not clearly move poverty in either direction. We read this as inconclusive, not as proof of no effect.</w:t>
      </w:r>
    </w:p>
    <w:p>
      <w:pPr>
        <w:pStyle w:val="Heading3"/>
        <w:spacing w:after="80" w:before="200"/>
      </w:pPr>
      <w:r>
        <w:rPr>
          <w:rFonts w:ascii="Times New Roman" w:cs="Times New Roman" w:eastAsia="Times New Roman" w:hAnsi="Times New Roman"/>
        </w:rPr>
        <w:t xml:space="preserve">Finding 3: Median Household Income</w:t>
      </w:r>
    </w:p>
    <w:p>
      <w:pPr>
        <w:spacing w:after="160" w:line="264"/>
        <w:jc w:val="both"/>
      </w:pPr>
      <w:r>
        <w:rPr>
          <w:rFonts w:ascii="Times New Roman" w:cs="Times New Roman" w:eastAsia="Times New Roman" w:hAnsi="Times New Roman"/>
        </w:rPr>
        <w:t xml:space="preserve">Median household income rose significantly with the minimum wage (coefficient: 1,265.50, p = 0.0001; 95% CI: 635.53 to 1,895.50). Each $1 increase coincides with about $1,266 more per household. This exceeds what one minimum-wage earner's raise could add to a household. The coefficient likely reflects broader wage growth that moves with minimum wage policy, not a purely mechanical pass-through.</w:t>
      </w:r>
    </w:p>
    <w:p>
      <w:pPr>
        <w:pStyle w:val="Heading3"/>
        <w:spacing w:after="80" w:before="200"/>
      </w:pPr>
      <w:r>
        <w:rPr>
          <w:rFonts w:ascii="Times New Roman" w:cs="Times New Roman" w:eastAsia="Times New Roman" w:hAnsi="Times New Roman"/>
        </w:rPr>
        <w:t xml:space="preserve">The Combined Picture</w:t>
      </w:r>
    </w:p>
    <w:p>
      <w:pPr>
        <w:spacing w:after="160" w:line="264"/>
        <w:jc w:val="both"/>
      </w:pPr>
      <w:r>
        <w:rPr>
          <w:rFonts w:ascii="Times New Roman" w:cs="Times New Roman" w:eastAsia="Times New Roman" w:hAnsi="Times New Roman"/>
        </w:rPr>
        <w:t xml:space="preserve">The three results tell a consistent story. State minimum wage increases did not bring the unemployment that critics of the Raise the Wage Act predict. They did not significantly change poverty. They did coincide with measurably higher household income.</w:t>
      </w:r>
    </w:p>
    <w:p>
      <w:pPr>
        <w:spacing w:after="160" w:line="264"/>
        <w:jc w:val="both"/>
      </w:pPr>
      <w:r>
        <w:rPr>
          <w:rFonts w:ascii="Times New Roman" w:cs="Times New Roman" w:eastAsia="Times New Roman" w:hAnsi="Times New Roman"/>
        </w:rPr>
        <w:t xml:space="preserve">If state patterns hold at the federal level, a $17 floor would likely have limited effects on unemployment and poverty, and it could coincide with income gains. That is a significant caveat, discussed below. The income link is an association, not a guaranteed causal lever.</w:t>
      </w:r>
    </w:p>
    <w:p>
      <w:pPr>
        <w:pStyle w:val="Heading1"/>
        <w:spacing w:after="140" w:before="320"/>
      </w:pPr>
      <w:r>
        <w:rPr>
          <w:rFonts w:ascii="Times New Roman" w:cs="Times New Roman" w:eastAsia="Times New Roman" w:hAnsi="Times New Roman"/>
        </w:rPr>
        <w:t xml:space="preserve">Limitations &amp; What We Cannot Conclude</w:t>
      </w:r>
    </w:p>
    <w:p>
      <w:pPr>
        <w:pStyle w:val="ListParagraph"/>
        <w:numPr>
          <w:ilvl w:val="0"/>
          <w:numId w:val="2"/>
        </w:numPr>
        <w:spacing w:after="100" w:line="264"/>
        <w:jc w:val="both"/>
      </w:pPr>
      <w:r>
        <w:rPr>
          <w:rFonts w:ascii="Times New Roman" w:cs="Times New Roman" w:eastAsia="Times New Roman" w:hAnsi="Times New Roman"/>
          <w:b/>
          <w:bCs/>
        </w:rPr>
        <w:t xml:space="preserve">Observational data. </w:t>
      </w:r>
      <w:r>
        <w:rPr>
          <w:rFonts w:ascii="Times New Roman" w:cs="Times New Roman" w:eastAsia="Times New Roman" w:hAnsi="Times New Roman"/>
        </w:rPr>
        <w:t xml:space="preserve">This design supports strong association claims, but it cannot prove causation.</w:t>
      </w:r>
    </w:p>
    <w:p>
      <w:pPr>
        <w:pStyle w:val="ListParagraph"/>
        <w:numPr>
          <w:ilvl w:val="0"/>
          <w:numId w:val="2"/>
        </w:numPr>
        <w:spacing w:after="100" w:line="264"/>
        <w:jc w:val="both"/>
      </w:pPr>
      <w:r>
        <w:rPr>
          <w:rFonts w:ascii="Times New Roman" w:cs="Times New Roman" w:eastAsia="Times New Roman" w:hAnsi="Times New Roman"/>
          <w:b/>
          <w:bCs/>
        </w:rPr>
        <w:t xml:space="preserve">A narrow jobs measure. </w:t>
      </w:r>
      <w:r>
        <w:rPr>
          <w:rFonts w:ascii="Times New Roman" w:cs="Times New Roman" w:eastAsia="Times New Roman" w:hAnsi="Times New Roman"/>
        </w:rPr>
        <w:t xml:space="preserve">The unemployment rate misses cuts to hours, underemployment, and changes in labor force participation.</w:t>
      </w:r>
    </w:p>
    <w:p>
      <w:pPr>
        <w:pStyle w:val="ListParagraph"/>
        <w:numPr>
          <w:ilvl w:val="0"/>
          <w:numId w:val="2"/>
        </w:numPr>
        <w:spacing w:after="100" w:line="264"/>
        <w:jc w:val="both"/>
      </w:pPr>
      <w:r>
        <w:rPr>
          <w:rFonts w:ascii="Times New Roman" w:cs="Times New Roman" w:eastAsia="Times New Roman" w:hAnsi="Times New Roman"/>
          <w:b/>
          <w:bCs/>
        </w:rPr>
        <w:t xml:space="preserve">State results may not scale. </w:t>
      </w:r>
      <w:r>
        <w:rPr>
          <w:rFonts w:ascii="Times New Roman" w:cs="Times New Roman" w:eastAsia="Times New Roman" w:hAnsi="Times New Roman"/>
        </w:rPr>
        <w:t xml:space="preserve">A business can move to a lower-wage state. It cannot escape a federal floor the same way.</w:t>
      </w:r>
    </w:p>
    <w:p>
      <w:pPr>
        <w:pStyle w:val="ListParagraph"/>
        <w:numPr>
          <w:ilvl w:val="0"/>
          <w:numId w:val="2"/>
        </w:numPr>
        <w:spacing w:after="100" w:line="264"/>
        <w:jc w:val="both"/>
      </w:pPr>
      <w:r>
        <w:rPr>
          <w:rFonts w:ascii="Times New Roman" w:cs="Times New Roman" w:eastAsia="Times New Roman" w:hAnsi="Times New Roman"/>
          <w:b/>
          <w:bCs/>
        </w:rPr>
        <w:t xml:space="preserve">Nominal comparisons. </w:t>
      </w:r>
      <w:r>
        <w:rPr>
          <w:rFonts w:ascii="Times New Roman" w:cs="Times New Roman" w:eastAsia="Times New Roman" w:hAnsi="Times New Roman"/>
        </w:rPr>
        <w:t xml:space="preserve">Cost-of-living differences across states complicate comparisons of nominal wage effects.</w:t>
      </w:r>
    </w:p>
    <w:p>
      <w:pPr>
        <w:pStyle w:val="ListParagraph"/>
        <w:numPr>
          <w:ilvl w:val="0"/>
          <w:numId w:val="2"/>
        </w:numPr>
        <w:spacing w:after="100" w:line="264"/>
        <w:jc w:val="both"/>
      </w:pPr>
      <w:r>
        <w:rPr>
          <w:rFonts w:ascii="Times New Roman" w:cs="Times New Roman" w:eastAsia="Times New Roman" w:hAnsi="Times New Roman"/>
          <w:b/>
          <w:bCs/>
        </w:rPr>
        <w:t xml:space="preserve">No recent federal variation. </w:t>
      </w:r>
      <w:r>
        <w:rPr>
          <w:rFonts w:ascii="Times New Roman" w:cs="Times New Roman" w:eastAsia="Times New Roman" w:hAnsi="Times New Roman"/>
        </w:rPr>
        <w:t xml:space="preserve">The federal floor has not moved since 2009 [2]. All federal-level inference here extrapolates from state variation.</w:t>
      </w:r>
    </w:p>
    <w:p>
      <w:pPr>
        <w:pStyle w:val="Heading1"/>
        <w:spacing w:after="140" w:before="320"/>
      </w:pPr>
      <w:r>
        <w:rPr>
          <w:rFonts w:ascii="Times New Roman" w:cs="Times New Roman" w:eastAsia="Times New Roman" w:hAnsi="Times New Roman"/>
        </w:rPr>
        <w:t xml:space="preserve">Policy Implication</w:t>
      </w:r>
    </w:p>
    <w:p>
      <w:pPr>
        <w:spacing w:after="160" w:line="264"/>
        <w:jc w:val="both"/>
      </w:pPr>
      <w:r>
        <w:rPr>
          <w:rFonts w:ascii="Times New Roman" w:cs="Times New Roman" w:eastAsia="Times New Roman" w:hAnsi="Times New Roman"/>
        </w:rPr>
        <w:t xml:space="preserve">Thirty years of state natural experiments show no significant link between the minimum wage and unemployment or poverty. They do show a measurable link with household income. The job-loss concern at the center of opposition to the Raise the Wage Act finds little support in this evidence.</w:t>
      </w:r>
    </w:p>
    <w:p>
      <w:pPr>
        <w:spacing w:after="160" w:line="264"/>
        <w:jc w:val="both"/>
      </w:pPr>
      <w:r>
        <w:rPr>
          <w:rFonts w:ascii="Times New Roman" w:cs="Times New Roman" w:eastAsia="Times New Roman" w:hAnsi="Times New Roman"/>
        </w:rPr>
        <w:t xml:space="preserve">Policymakers should weigh this evidence alongside factors this analysis does not capture: regional cost of living, small-business margins, and the phase-in timeline.</w:t>
      </w:r>
    </w:p>
    <w:p>
      <w:pPr>
        <w:pBdr>
          <w:bottom w:val="single" w:color="BFBFBF" w:sz="6" w:space="1"/>
        </w:pBdr>
        <w:spacing w:after="120"/>
      </w:pPr>
    </w:p>
    <w:p>
      <w:pPr>
        <w:spacing w:after="0"/>
      </w:pPr>
      <w:r>
        <w:rPr>
          <w:rFonts w:ascii="Times New Roman" w:cs="Times New Roman" w:eastAsia="Times New Roman" w:hAnsi="Times New Roman"/>
          <w:i/>
          <w:iCs/>
          <w:sz w:val="17"/>
          <w:szCs w:val="17"/>
        </w:rPr>
        <w:t xml:space="preserve">Methodology, data sources, and full regression output: github.com/danieligbokwe/Minimum-Wage-vs-Unemployment. This brief is an illustrative student portfolio project.</w:t>
      </w:r>
    </w:p>
    <w:p>
      <w:r>
        <w:br w:type="page"/>
      </w:r>
    </w:p>
    <w:p>
      <w:pPr>
        <w:pStyle w:val="Heading1"/>
        <w:spacing w:after="140" w:before="320"/>
      </w:pPr>
      <w:r>
        <w:rPr>
          <w:rFonts w:ascii="Times New Roman" w:cs="Times New Roman" w:eastAsia="Times New Roman" w:hAnsi="Times New Roman"/>
        </w:rPr>
        <w:t xml:space="preserve">References</w:t>
      </w:r>
    </w:p>
    <w:p>
      <w:pPr>
        <w:spacing w:after="160"/>
      </w:pPr>
      <w:r>
        <w:rPr>
          <w:rFonts w:ascii="Times New Roman" w:cs="Times New Roman" w:eastAsia="Times New Roman" w:hAnsi="Times New Roman"/>
          <w:sz w:val="20"/>
          <w:szCs w:val="20"/>
        </w:rPr>
        <w:t xml:space="preserve">[1] S.1332, Raise the Wage Act of 2025, 119th Congress. Congress.gov. https://www.congress.gov/bill/119th-congress/senate-bill/1332</w:t>
      </w:r>
    </w:p>
    <w:p>
      <w:pPr>
        <w:spacing w:after="160"/>
      </w:pPr>
      <w:r>
        <w:rPr>
          <w:rFonts w:ascii="Times New Roman" w:cs="Times New Roman" w:eastAsia="Times New Roman" w:hAnsi="Times New Roman"/>
          <w:sz w:val="20"/>
          <w:szCs w:val="20"/>
        </w:rPr>
        <w:t xml:space="preserve">[2] U.S. Department of Labor, Wage and Hour Division. “Minimum Wage.” https://www.dol.gov/agencies/whd/minimum-wage</w:t>
      </w:r>
    </w:p>
    <w:p>
      <w:pPr>
        <w:spacing w:after="160"/>
      </w:pPr>
      <w:r>
        <w:rPr>
          <w:rFonts w:ascii="Times New Roman" w:cs="Times New Roman" w:eastAsia="Times New Roman" w:hAnsi="Times New Roman"/>
          <w:sz w:val="20"/>
          <w:szCs w:val="20"/>
        </w:rPr>
        <w:t xml:space="preserve">[3] W.E. Upjohn Institute for Employment Research. Working paper on minimum wage and employment effects. https://research.upjohn.org/cgi/viewcontent.cgi?article=1250&amp;context=up_workingpapers</w:t>
      </w:r>
    </w:p>
    <w:p>
      <w:pPr>
        <w:spacing w:after="160"/>
      </w:pPr>
      <w:r>
        <w:rPr>
          <w:rFonts w:ascii="Times New Roman" w:cs="Times New Roman" w:eastAsia="Times New Roman" w:hAnsi="Times New Roman"/>
          <w:sz w:val="20"/>
          <w:szCs w:val="20"/>
        </w:rPr>
        <w:t xml:space="preserve">[4] Card, David, and Alan B. Krueger. “Minimum Wages and Employment: A Case Study of the Fast-Food Industry in New Jersey and Pennsylvania.” American Economic Review 84, no. 4 (1994): 772-793. https://davidcard.berkeley.edu/papers/njmin-aer.pdf</w:t>
      </w:r>
    </w:p>
    <w:p>
      <w:pPr>
        <w:spacing w:after="160"/>
      </w:pPr>
      <w:r>
        <w:rPr>
          <w:rFonts w:ascii="Times New Roman" w:cs="Times New Roman" w:eastAsia="Times New Roman" w:hAnsi="Times New Roman"/>
          <w:sz w:val="20"/>
          <w:szCs w:val="20"/>
        </w:rPr>
        <w:t xml:space="preserve">[5] Brynjolfsson, Erik, J. Frank Li, Javier Miranda, Robert Seamans, and Andrew J. Wang. “Minimum Wages and Rise of the Robots.” NBER Working Paper 34895 (2026). https://www.nber.org/papers/w34895</w:t>
      </w:r>
    </w:p>
    <w:p>
      <w:pPr>
        <w:spacing w:after="160"/>
      </w:pPr>
      <w:r>
        <w:rPr>
          <w:rFonts w:ascii="Times New Roman" w:cs="Times New Roman" w:eastAsia="Times New Roman" w:hAnsi="Times New Roman"/>
          <w:sz w:val="20"/>
          <w:szCs w:val="20"/>
        </w:rPr>
        <w:t xml:space="preserve">[6] Peterson Institute for International Economics. “Higher Wages for Low-Income Workers Lead to Higher Productivity.” https://www.piie.com/blogs/realtime-economic-issues-watch/higher-wages-low-income-workers-lead-higher-productivity</w:t>
      </w: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outlineLvl w:val="1"/>
    </w:pPr>
    <w:rPr>
      <w:rFonts w:ascii="Times New Roman" w:cs="Times New Roman" w:eastAsia="Times New Roman" w:hAnsi="Times New Roman"/>
      <w:b/>
      <w:bCs/>
      <w:color w:val="000000"/>
      <w:sz w:val="22"/>
      <w:szCs w:val="22"/>
    </w:rPr>
  </w:style>
  <w:style w:type="paragraph" w:styleId="Heading3">
    <w:name w:val="Heading 3"/>
    <w:basedOn w:val="Normal"/>
    <w:next w:val="Normal"/>
    <w:qFormat/>
    <w:pPr>
      <w:keepNext/>
      <w:outlineLvl w:val="2"/>
    </w:pPr>
    <w:rPr>
      <w:rFonts w:ascii="Times New Roman" w:cs="Times New Roman" w:eastAsia="Times New Roman" w:hAnsi="Times New Roman"/>
      <w:color w:val="00000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d5d8b4a2435350f2b054ab42bd756f6643e1e2d.png"/><Relationship Id="rId9" Type="http://schemas.openxmlformats.org/officeDocument/2006/relationships/image" Target="media/bdbd90670d088b6a5e3f658cf723af528e32a77e.png"/><Relationship Id="rId10" Type="http://schemas.openxmlformats.org/officeDocument/2006/relationships/image" Target="media/1bf940419da8101db650345536c7b387ada85c74.png"/><Relationship Id="rId11" Type="http://schemas.openxmlformats.org/officeDocument/2006/relationships/image" Target="media/910c6ac8a8d64a01bf35e2aa52a055f9d26c5e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Minimum Wage vs. Unemployment: What 30 Years of State-Level Data Show</dc:title>
  <dc:creator>Daniel Igbokwe</dc:creator>
  <dc:description>Policy brief on minimum wage, unemployment, poverty, and income across 50 U.S. states, 1995-2024</dc:description>
  <cp:lastModifiedBy>Un-named</cp:lastModifiedBy>
  <cp:revision>1</cp:revision>
  <dcterms:created xsi:type="dcterms:W3CDTF">2026-10-03T22:14:01.785Z</dcterms:created>
  <dcterms:modified xsi:type="dcterms:W3CDTF">2026-10-03T22:14:01.788Z</dcterms:modified>
</cp:coreProperties>
</file>

<file path=docProps/custom.xml><?xml version="1.0" encoding="utf-8"?>
<Properties xmlns="http://schemas.openxmlformats.org/officeDocument/2006/custom-properties" xmlns:vt="http://schemas.openxmlformats.org/officeDocument/2006/docPropsVTypes"/>
</file>