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35839" w14:textId="77777777" w:rsidR="003D0667" w:rsidRPr="000E2396" w:rsidRDefault="001631F5">
      <w:pPr>
        <w:spacing w:after="40"/>
        <w:jc w:val="center"/>
      </w:pPr>
      <w:r w:rsidRPr="000E2396">
        <w:rPr>
          <w:b/>
          <w:bCs/>
        </w:rPr>
        <w:t>POLICY BRIEF</w:t>
      </w:r>
    </w:p>
    <w:p w14:paraId="6D23583A" w14:textId="77777777" w:rsidR="003D0667" w:rsidRPr="000E2396" w:rsidRDefault="001631F5">
      <w:pPr>
        <w:spacing w:after="60"/>
        <w:jc w:val="center"/>
      </w:pPr>
      <w:r w:rsidRPr="000E2396">
        <w:rPr>
          <w:b/>
          <w:bCs/>
          <w:sz w:val="34"/>
          <w:szCs w:val="34"/>
        </w:rPr>
        <w:t>Minimum Wage vs. Unemployment: What 50 Years of State-Level Data Show</w:t>
      </w:r>
    </w:p>
    <w:p w14:paraId="6D23583B" w14:textId="77777777" w:rsidR="003D0667" w:rsidRPr="000E2396" w:rsidRDefault="001631F5">
      <w:pPr>
        <w:spacing w:after="40"/>
        <w:jc w:val="center"/>
      </w:pPr>
      <w:r w:rsidRPr="000E2396">
        <w:rPr>
          <w:i/>
          <w:iCs/>
          <w:sz w:val="22"/>
          <w:szCs w:val="22"/>
        </w:rPr>
        <w:t>Empirical Context for the Warren–Murphy $17 Federal Minimum Wage Proposal</w:t>
      </w:r>
    </w:p>
    <w:p w14:paraId="6D23583C" w14:textId="77777777" w:rsidR="003D0667" w:rsidRPr="000E2396" w:rsidRDefault="001631F5">
      <w:pPr>
        <w:spacing w:after="20"/>
        <w:jc w:val="center"/>
      </w:pPr>
      <w:r w:rsidRPr="000E2396">
        <w:rPr>
          <w:sz w:val="18"/>
          <w:szCs w:val="18"/>
        </w:rPr>
        <w:t>Prepared for: NBC News — Policy &amp; Data Desk (illustrative client)</w:t>
      </w:r>
    </w:p>
    <w:p w14:paraId="6D23583D" w14:textId="77777777" w:rsidR="003D0667" w:rsidRPr="000E2396" w:rsidRDefault="001631F5">
      <w:pPr>
        <w:spacing w:after="20"/>
        <w:jc w:val="center"/>
      </w:pPr>
      <w:r w:rsidRPr="000E2396">
        <w:rPr>
          <w:sz w:val="18"/>
          <w:szCs w:val="18"/>
        </w:rPr>
        <w:t>Prepared by: Daniel Igbokwe, Quantitative Analyst</w:t>
      </w:r>
    </w:p>
    <w:p w14:paraId="6D23583E" w14:textId="77777777" w:rsidR="003D0667" w:rsidRPr="000E2396" w:rsidRDefault="001631F5">
      <w:pPr>
        <w:spacing w:after="240"/>
        <w:jc w:val="center"/>
      </w:pPr>
      <w:r w:rsidRPr="000E2396">
        <w:rPr>
          <w:i/>
          <w:iCs/>
        </w:rPr>
        <w:t>[Month] 2026</w:t>
      </w:r>
    </w:p>
    <w:p w14:paraId="6D23583F" w14:textId="77777777" w:rsidR="003D0667" w:rsidRPr="000E2396" w:rsidRDefault="003D0667">
      <w:pPr>
        <w:pBdr>
          <w:bottom w:val="single" w:sz="6" w:space="4" w:color="BFBFBF"/>
        </w:pBdr>
        <w:spacing w:after="200"/>
      </w:pPr>
    </w:p>
    <w:p w14:paraId="6D235840" w14:textId="77777777">
      <w:pPr>
        <w:pStyle w:val="Heading1"/>
        <w:spacing w:before="320" w:after="140"/>
        <w:rPr>
          <w:color w:val="auto"/>
        </w:rPr>
      </w:pPr>
      <w:r>
        <w:rPr>
          <w:rFonts w:ascii="Times New Roman" w:hAnsi="Times New Roman" w:eastAsia="Times New Roman" w:cs="Times New Roman"/>
          <w:b/>
          <w:bCs/>
          <w:sz w:val="26"/>
          <w:szCs w:val="26"/>
        </w:rPr>
        <w:t>Executive Summary</w:t>
      </w:r>
    </w:p>
    <w:p w14:paraId="6D235841" w14:textId="77777777" w:rsidR="003D0667" w:rsidRPr="000E2396" w:rsidRDefault="001631F5">
      <w:pPr>
        <w:spacing w:after="160" w:line="276" w:lineRule="auto"/>
      </w:pPr>
      <w:r w:rsidRPr="000E2396">
        <w:t xml:space="preserve">Our analysis of 50 years of state-level minimum wage data finds </w:t>
      </w:r>
      <w:r w:rsidRPr="000E2396">
        <w:rPr>
          <w:i/>
          <w:iCs/>
        </w:rPr>
        <w:t>[that states raising wages above the federal floor showed a statistically insignificant / significant increase/decrease]</w:t>
      </w:r>
      <w:r w:rsidRPr="000E2396">
        <w:t xml:space="preserve"> in unemployment rates, after controlling for state and year fixed effects. </w:t>
      </w:r>
    </w:p>
    <w:p w14:paraId="6D235842" w14:textId="77777777" w:rsidR="003D0667" w:rsidRPr="000E2396" w:rsidRDefault="001631F5">
      <w:pPr>
        <w:spacing w:after="160" w:line="276" w:lineRule="auto"/>
      </w:pPr>
      <w:r w:rsidRPr="000E2396">
        <w:t xml:space="preserve">Across the two additional outcomes examined — poverty rate and median household income — the data show </w:t>
      </w:r>
      <w:r w:rsidRPr="000E2396">
        <w:rPr>
          <w:i/>
          <w:iCs/>
        </w:rPr>
        <w:t>[summarize direction and magnitude of secondary findings once available]</w:t>
      </w:r>
      <w:r w:rsidRPr="000E2396">
        <w:t>.</w:t>
      </w:r>
    </w:p>
    <w:p w14:paraId="6D235843" w14:textId="77777777" w:rsidR="003D0667" w:rsidRPr="000E2396" w:rsidRDefault="001631F5">
      <w:pPr>
        <w:spacing w:after="160" w:line="276" w:lineRule="auto"/>
      </w:pPr>
      <w:r w:rsidRPr="000E2396">
        <w:t xml:space="preserve">The evidence suggests the employment fears driving opposition to the Warren–Murphy proposal </w:t>
      </w:r>
      <w:r w:rsidRPr="000E2396">
        <w:rPr>
          <w:i/>
          <w:iCs/>
        </w:rPr>
        <w:t>[may be overstated / are supported / are partially supported]</w:t>
      </w:r>
      <w:r w:rsidRPr="000E2396">
        <w:t xml:space="preserve">, while the income and poverty effects appear </w:t>
      </w:r>
      <w:r w:rsidRPr="000E2396">
        <w:rPr>
          <w:i/>
          <w:iCs/>
        </w:rPr>
        <w:t>[real and measurable / limited / inconclusive]</w:t>
      </w:r>
      <w:r w:rsidRPr="000E2396">
        <w:t>. However, this analysis cannot capture hours reductions, labor force participation shifts, or regional cost-of-living variation, which limit the strength of any causal claim.</w:t>
      </w:r>
    </w:p>
    <w:p w14:paraId="6D235844" w14:textId="77777777">
      <w:pPr>
        <w:pStyle w:val="Heading1"/>
        <w:spacing w:before="320" w:after="140"/>
        <w:rPr>
          <w:color w:val="auto"/>
        </w:rPr>
      </w:pPr>
      <w:r>
        <w:rPr>
          <w:rFonts w:ascii="Times New Roman" w:hAnsi="Times New Roman" w:eastAsia="Times New Roman" w:cs="Times New Roman"/>
          <w:b/>
          <w:bCs/>
          <w:sz w:val="26"/>
          <w:szCs w:val="26"/>
        </w:rPr>
        <w:t>Background &amp; Policy Context</w:t>
      </w:r>
    </w:p>
    <w:p w14:paraId="6D235845" w14:textId="77777777" w:rsidR="003D0667" w:rsidRPr="000E2396" w:rsidRDefault="001631F5">
      <w:pPr>
        <w:spacing w:after="160" w:line="276" w:lineRule="auto"/>
      </w:pPr>
      <w:r w:rsidRPr="000E2396">
        <w:t>The federal minimum wage has remained at $7.25 per hour since 2009, the longest stretch without an increase since the wage floor was established in 1938. Over the same period, a growing number of states have raised their own minimum wages well above the federal floor, creating a patchwork of wage policy across the country and a natural laboratory for studying its effects.</w:t>
      </w:r>
    </w:p>
    <w:p w14:paraId="6D235846" w14:textId="77777777" w:rsidR="003D0667" w:rsidRPr="000E2396" w:rsidRDefault="001631F5">
      <w:pPr>
        <w:spacing w:after="160" w:line="276" w:lineRule="auto"/>
      </w:pPr>
      <w:r w:rsidRPr="000E2396">
        <w:t xml:space="preserve">The Warren–Murphy proposal would raise the federal minimum wage to $17 per hour, reigniting a decades-old economic debate: do minimum wage increases meaningfully reduce employment, as classical labor market theory predicts, or do modern labor markets absorb these increases with little to no </w:t>
      </w:r>
      <w:proofErr w:type="spellStart"/>
      <w:r w:rsidRPr="000E2396">
        <w:t>disemployment</w:t>
      </w:r>
      <w:proofErr w:type="spellEnd"/>
      <w:r w:rsidRPr="000E2396">
        <w:t xml:space="preserve"> effect, as an emerging body of empirical research (following Card &amp; Krueger, among others) suggests?</w:t>
      </w:r>
    </w:p>
    <w:p w14:paraId="6D235847" w14:textId="77777777">
      <w:pPr>
        <w:pStyle w:val="Heading2"/>
        <w:spacing w:before="220" w:after="100"/>
        <w:rPr>
          <w:color w:val="auto"/>
        </w:rPr>
      </w:pPr>
      <w:r>
        <w:rPr>
          <w:rFonts w:ascii="Times New Roman" w:hAnsi="Times New Roman" w:eastAsia="Times New Roman" w:cs="Times New Roman"/>
          <w:b/>
          <w:bCs/>
          <w:sz w:val="22"/>
          <w:szCs w:val="22"/>
        </w:rPr>
        <w:t>The Debate</w:t>
      </w:r>
    </w:p>
    <w:p w14:paraId="6D235848" w14:textId="469E6996" w:rsidR="003D0667" w:rsidRPr="000E2396" w:rsidRDefault="001631F5">
      <w:pPr>
        <w:spacing w:after="160" w:line="276" w:lineRule="auto"/>
      </w:pPr>
      <w:r w:rsidRPr="000E2396">
        <w:t xml:space="preserve">Opponents of increases above the federal floor </w:t>
      </w:r>
      <w:r w:rsidRPr="000E2396">
        <w:t>argue that raising the price of labor reduces employer demand for it, forcing layoffs, hiring freezes, or business closures among firms operating on thin margins. They also argue that employers facing higher labor costs pass them through to consumers as higher prices, and that a higher wage floor accelerates automation, pushing employers to replace low-wage workers with technology sooner than they otherwise would have.</w:t>
      </w:r>
    </w:p>
    <w:p w14:paraId="6D235849" w14:textId="46456D91" w:rsidR="003D0667" w:rsidRPr="000E2396" w:rsidRDefault="001631F5">
      <w:pPr>
        <w:spacing w:after="160" w:line="276" w:lineRule="auto"/>
      </w:pPr>
      <w:r w:rsidRPr="000E2396">
        <w:t xml:space="preserve">Advocates </w:t>
      </w:r>
      <w:r w:rsidRPr="000E2396">
        <w:t>counter that higher wages lift low-income households out of poverty directly, and that the additional income low-wage workers spend circulates back into the economy as consumer demand. They also point to productivity and retention benefits: higher pay is associated with improved worker morale and lower costly turnover, and higher earnings can reduce how many workers rely on public assistance programs.</w:t>
      </w:r>
    </w:p>
    <w:p w14:paraId="6D23584A" w14:textId="77777777" w:rsidR="003D0667" w:rsidRPr="000E2396" w:rsidRDefault="001631F5">
      <w:pPr>
        <w:spacing w:after="160" w:line="276" w:lineRule="auto"/>
      </w:pPr>
      <w:r w:rsidRPr="000E2396">
        <w:t>This brief's evidence speaks directly to only part of this debate. Its three outcome measures — unemployment, poverty, and household income — can support or challenge the job-loss and poverty-reduction claims on each side. They cannot test claims about price pass-through to consumers, automation substitution, or productivity and turnover effects, which would require different data (e.g., pricing data, capital investment, employer surveys) outside this analysis's scope.</w:t>
      </w:r>
    </w:p>
    <w:p w14:paraId="6D23584B" w14:textId="77777777" w:rsidR="003D0667" w:rsidRPr="000E2396" w:rsidRDefault="001631F5">
      <w:pPr>
        <w:spacing w:after="160" w:line="276" w:lineRule="auto"/>
      </w:pPr>
      <w:r w:rsidRPr="000E2396">
        <w:lastRenderedPageBreak/>
        <w:t>This brief does not take a position on the proposal itself. Its purpose is to bring state-level evidence — accumulated over decades of natural policy variation — to bear on the empirical parts of this question, so that the debate can be grounded in data rather than priors alone.</w:t>
      </w:r>
    </w:p>
    <w:p w14:paraId="6D23584C" w14:textId="77777777">
      <w:pPr>
        <w:pStyle w:val="Heading1"/>
        <w:spacing w:before="320" w:after="140"/>
        <w:rPr>
          <w:color w:val="auto"/>
        </w:rPr>
      </w:pPr>
      <w:r>
        <w:rPr>
          <w:rFonts w:ascii="Times New Roman" w:hAnsi="Times New Roman" w:eastAsia="Times New Roman" w:cs="Times New Roman"/>
          <w:b/>
          <w:bCs/>
          <w:sz w:val="26"/>
          <w:szCs w:val="26"/>
        </w:rPr>
        <w:t>Data &amp; Methodology</w:t>
      </w:r>
    </w:p>
    <w:p w14:paraId="6D23584D" w14:textId="77777777">
      <w:pPr>
        <w:pStyle w:val="Heading2"/>
        <w:spacing w:before="220" w:after="100"/>
        <w:rPr>
          <w:color w:val="auto"/>
        </w:rPr>
      </w:pPr>
      <w:r>
        <w:rPr>
          <w:rFonts w:ascii="Times New Roman" w:hAnsi="Times New Roman" w:eastAsia="Times New Roman" w:cs="Times New Roman"/>
          <w:b/>
          <w:bCs/>
          <w:sz w:val="22"/>
          <w:szCs w:val="22"/>
        </w:rPr>
        <w:t>Data Sources</w:t>
      </w:r>
    </w:p>
    <w:p w14:paraId="6D23584E" w14:textId="77777777" w:rsidR="003D0667" w:rsidRPr="000E2396" w:rsidRDefault="001631F5">
      <w:pPr>
        <w:spacing w:after="160" w:line="276" w:lineRule="auto"/>
      </w:pPr>
      <w:r w:rsidRPr="000E2396">
        <w:t xml:space="preserve">State-level unemployment, poverty rate, and median household income were all sourced from the Federal Reserve Economic Data (FRED) API, which hosts Census Bureau–derived state annual series for the latter two alongside its own state unemployment series. State minimum wage history was compiled from U.S. Department of Labor records </w:t>
      </w:r>
      <w:r w:rsidRPr="000E2396">
        <w:rPr>
          <w:i/>
          <w:iCs/>
        </w:rPr>
        <w:t>[and/or supplementary Kaggle dataset — confirm final source</w:t>
      </w:r>
      <w:proofErr w:type="gramStart"/>
      <w:r w:rsidRPr="000E2396">
        <w:rPr>
          <w:i/>
          <w:iCs/>
        </w:rPr>
        <w:t>]</w:t>
      </w:r>
      <w:r w:rsidRPr="000E2396">
        <w:t>, and</w:t>
      </w:r>
      <w:proofErr w:type="gramEnd"/>
      <w:r w:rsidRPr="000E2396">
        <w:t xml:space="preserve"> required converting effective-date wage changes into a single annual rate per state-year </w:t>
      </w:r>
      <w:r w:rsidRPr="000E2396">
        <w:rPr>
          <w:i/>
          <w:iCs/>
        </w:rPr>
        <w:t>[decide convention: rate in effect Jan 1, or hours-weighted average across the year]</w:t>
      </w:r>
      <w:r w:rsidRPr="000E2396">
        <w:t>.</w:t>
      </w:r>
    </w:p>
    <w:p w14:paraId="6D23584F" w14:textId="77777777" w:rsidR="003D0667" w:rsidRPr="000E2396" w:rsidRDefault="001631F5">
      <w:pPr>
        <w:spacing w:after="160" w:line="276" w:lineRule="auto"/>
      </w:pPr>
      <w:r w:rsidRPr="000E2396">
        <w:t xml:space="preserve">The panel spans </w:t>
      </w:r>
      <w:r w:rsidRPr="000E2396">
        <w:rPr>
          <w:i/>
          <w:iCs/>
        </w:rPr>
        <w:t>[X]</w:t>
      </w:r>
      <w:r w:rsidRPr="000E2396">
        <w:t xml:space="preserve"> years across all 50 states, yielding </w:t>
      </w:r>
      <w:r w:rsidRPr="000E2396">
        <w:rPr>
          <w:i/>
          <w:iCs/>
        </w:rPr>
        <w:t>[X]</w:t>
      </w:r>
      <w:r w:rsidRPr="000E2396">
        <w:t xml:space="preserve"> state-year observations.</w:t>
      </w:r>
    </w:p>
    <w:p w14:paraId="6D235850" w14:textId="77777777">
      <w:pPr>
        <w:pStyle w:val="Heading2"/>
        <w:spacing w:before="220" w:after="100"/>
        <w:rPr>
          <w:color w:val="auto"/>
        </w:rPr>
      </w:pPr>
      <w:r>
        <w:rPr>
          <w:rFonts w:ascii="Times New Roman" w:hAnsi="Times New Roman" w:eastAsia="Times New Roman" w:cs="Times New Roman"/>
          <w:b/>
          <w:bCs/>
          <w:sz w:val="22"/>
          <w:szCs w:val="22"/>
        </w:rPr>
        <w:t>Method</w:t>
      </w:r>
    </w:p>
    <w:p w14:paraId="6D235851" w14:textId="77777777" w:rsidR="003D0667" w:rsidRPr="000E2396" w:rsidRDefault="001631F5">
      <w:pPr>
        <w:spacing w:after="160" w:line="276" w:lineRule="auto"/>
      </w:pPr>
      <w:r w:rsidRPr="000E2396">
        <w:t xml:space="preserve">We use </w:t>
      </w:r>
      <w:proofErr w:type="gramStart"/>
      <w:r w:rsidRPr="000E2396">
        <w:t>a panel</w:t>
      </w:r>
      <w:proofErr w:type="gramEnd"/>
      <w:r w:rsidRPr="000E2396">
        <w:t xml:space="preserve"> regression with state and year fixed effects. State fixed effects absorb any time-invariant differences between states (e.g., cost of living, industry mix, baseline labor market structure), while year fixed effects absorb nationwide shocks common to all states </w:t>
      </w:r>
      <w:proofErr w:type="gramStart"/>
      <w:r w:rsidRPr="000E2396">
        <w:t>in a given year</w:t>
      </w:r>
      <w:proofErr w:type="gramEnd"/>
      <w:r w:rsidRPr="000E2396">
        <w:t xml:space="preserve"> (e.g., recessions, national monetary policy). This isolates the within-state, </w:t>
      </w:r>
      <w:proofErr w:type="gramStart"/>
      <w:r w:rsidRPr="000E2396">
        <w:t>over-time</w:t>
      </w:r>
      <w:proofErr w:type="gramEnd"/>
      <w:r w:rsidRPr="000E2396">
        <w:t xml:space="preserve"> relationship between minimum wage changes and each outcome variable, which is a substantially stronger identification strategy than a simpl</w:t>
      </w:r>
      <w:r w:rsidRPr="000E2396">
        <w:t>e national before/after comparison.</w:t>
      </w:r>
    </w:p>
    <w:p w14:paraId="6D235852" w14:textId="77777777" w:rsidR="003D0667" w:rsidRPr="000E2396" w:rsidRDefault="001631F5">
      <w:pPr>
        <w:spacing w:after="160" w:line="276" w:lineRule="auto"/>
      </w:pPr>
      <w:r w:rsidRPr="000E2396">
        <w:t>This is not a randomized controlled experiment. It is an observational, quasi-experimental design that treats state-level minimum wage increases as a natural experiment — a standard and well-established approach in labor economics, but one with real limitations discussed below.</w:t>
      </w:r>
    </w:p>
    <w:p w14:paraId="6D235853" w14:textId="77777777">
      <w:pPr>
        <w:pStyle w:val="Heading1"/>
        <w:spacing w:before="320" w:after="140"/>
        <w:rPr>
          <w:color w:val="auto"/>
        </w:rPr>
      </w:pPr>
      <w:r>
        <w:rPr>
          <w:rFonts w:ascii="Times New Roman" w:hAnsi="Times New Roman" w:eastAsia="Times New Roman" w:cs="Times New Roman"/>
          <w:b/>
          <w:bCs/>
          <w:sz w:val="26"/>
          <w:szCs w:val="26"/>
        </w:rPr>
        <w:t>Findings</w:t>
      </w:r>
    </w:p>
    <w:p w14:paraId="6D235854" w14:textId="77777777">
      <w:pPr>
        <w:pStyle w:val="Heading2"/>
        <w:spacing w:before="220" w:after="100"/>
        <w:rPr>
          <w:color w:val="auto"/>
        </w:rPr>
      </w:pPr>
      <w:r>
        <w:rPr>
          <w:rFonts w:ascii="Times New Roman" w:hAnsi="Times New Roman" w:eastAsia="Times New Roman" w:cs="Times New Roman"/>
          <w:b/>
          <w:bCs/>
          <w:sz w:val="22"/>
          <w:szCs w:val="22"/>
        </w:rPr>
        <w:t>Finding 1 — Unemployment</w:t>
      </w:r>
    </w:p>
    <w:p w14:paraId="6D235855" w14:textId="77777777" w:rsidR="003D0667" w:rsidRPr="000E2396" w:rsidRDefault="001631F5">
      <w:pPr>
        <w:spacing w:after="160" w:line="276" w:lineRule="auto"/>
      </w:pPr>
      <w:r w:rsidRPr="000E2396">
        <w:t xml:space="preserve">We find a </w:t>
      </w:r>
      <w:r w:rsidRPr="000E2396">
        <w:rPr>
          <w:i/>
          <w:iCs/>
        </w:rPr>
        <w:t>[X]</w:t>
      </w:r>
      <w:r w:rsidRPr="000E2396">
        <w:t xml:space="preserve"> relationship between minimum wage increases and state unemployment rates after controlling for state and year fixed effects (coefficient: </w:t>
      </w:r>
      <w:r w:rsidRPr="000E2396">
        <w:rPr>
          <w:i/>
          <w:iCs/>
        </w:rPr>
        <w:t>[X]</w:t>
      </w:r>
      <w:r w:rsidRPr="000E2396">
        <w:t xml:space="preserve">, p = </w:t>
      </w:r>
      <w:r w:rsidRPr="000E2396">
        <w:rPr>
          <w:i/>
          <w:iCs/>
        </w:rPr>
        <w:t>[X]</w:t>
      </w:r>
      <w:r w:rsidRPr="000E2396">
        <w:t xml:space="preserve">). </w:t>
      </w:r>
      <w:r w:rsidRPr="000E2396">
        <w:rPr>
          <w:i/>
          <w:iCs/>
        </w:rPr>
        <w:t xml:space="preserve">[Interpretation — e.g., consistent with recent empirical literature suggesting moderate minimum wage increases have smaller </w:t>
      </w:r>
      <w:proofErr w:type="spellStart"/>
      <w:r w:rsidRPr="000E2396">
        <w:rPr>
          <w:i/>
          <w:iCs/>
        </w:rPr>
        <w:t>disemployment</w:t>
      </w:r>
      <w:proofErr w:type="spellEnd"/>
      <w:r w:rsidRPr="000E2396">
        <w:rPr>
          <w:i/>
          <w:iCs/>
        </w:rPr>
        <w:t xml:space="preserve"> effects than classical models predict.]</w:t>
      </w:r>
    </w:p>
    <w:p w14:paraId="6D235856" w14:textId="77777777">
      <w:pPr>
        <w:pStyle w:val="Heading2"/>
        <w:spacing w:before="220" w:after="100"/>
        <w:rPr>
          <w:color w:val="auto"/>
        </w:rPr>
      </w:pPr>
      <w:r>
        <w:rPr>
          <w:rFonts w:ascii="Times New Roman" w:hAnsi="Times New Roman" w:eastAsia="Times New Roman" w:cs="Times New Roman"/>
          <w:b/>
          <w:bCs/>
          <w:sz w:val="22"/>
          <w:szCs w:val="22"/>
        </w:rPr>
        <w:t>Finding 2 — Poverty Rate</w:t>
      </w:r>
    </w:p>
    <w:p w14:paraId="6D235857" w14:textId="77777777" w:rsidR="003D0667" w:rsidRPr="000E2396" w:rsidRDefault="001631F5">
      <w:pPr>
        <w:spacing w:after="160" w:line="276" w:lineRule="auto"/>
      </w:pPr>
      <w:r w:rsidRPr="000E2396">
        <w:t xml:space="preserve">States raising minimum wages above the federal floor showed a </w:t>
      </w:r>
      <w:r w:rsidRPr="000E2396">
        <w:rPr>
          <w:i/>
          <w:iCs/>
        </w:rPr>
        <w:t>[X]</w:t>
      </w:r>
      <w:r w:rsidRPr="000E2396">
        <w:t xml:space="preserve"> percentage point </w:t>
      </w:r>
      <w:r w:rsidRPr="000E2396">
        <w:rPr>
          <w:i/>
          <w:iCs/>
        </w:rPr>
        <w:t>[decrease / no significant change / increase]</w:t>
      </w:r>
      <w:r w:rsidRPr="000E2396">
        <w:t xml:space="preserve"> in poverty rates in the following year (coefficient: </w:t>
      </w:r>
      <w:r w:rsidRPr="000E2396">
        <w:rPr>
          <w:i/>
          <w:iCs/>
        </w:rPr>
        <w:t>[X]</w:t>
      </w:r>
      <w:r w:rsidRPr="000E2396">
        <w:t xml:space="preserve">, p = </w:t>
      </w:r>
      <w:r w:rsidRPr="000E2396">
        <w:rPr>
          <w:i/>
          <w:iCs/>
        </w:rPr>
        <w:t>[X]</w:t>
      </w:r>
      <w:r w:rsidRPr="000E2396">
        <w:t xml:space="preserve">), suggesting </w:t>
      </w:r>
      <w:r w:rsidRPr="000E2396">
        <w:rPr>
          <w:i/>
          <w:iCs/>
        </w:rPr>
        <w:t>[interpretation]</w:t>
      </w:r>
      <w:r w:rsidRPr="000E2396">
        <w:t>.</w:t>
      </w:r>
    </w:p>
    <w:p w14:paraId="6D235858" w14:textId="77777777">
      <w:pPr>
        <w:pStyle w:val="Heading2"/>
        <w:spacing w:before="220" w:after="100"/>
        <w:rPr>
          <w:color w:val="auto"/>
        </w:rPr>
      </w:pPr>
      <w:r>
        <w:rPr>
          <w:rFonts w:ascii="Times New Roman" w:hAnsi="Times New Roman" w:eastAsia="Times New Roman" w:cs="Times New Roman"/>
          <w:b/>
          <w:bCs/>
          <w:sz w:val="22"/>
          <w:szCs w:val="22"/>
        </w:rPr>
        <w:t>Finding 3 — Median Household Income</w:t>
      </w:r>
    </w:p>
    <w:p w14:paraId="6D235859" w14:textId="77777777" w:rsidR="003D0667" w:rsidRPr="000E2396" w:rsidRDefault="001631F5">
      <w:pPr>
        <w:spacing w:after="160" w:line="276" w:lineRule="auto"/>
      </w:pPr>
      <w:r w:rsidRPr="000E2396">
        <w:t xml:space="preserve">Median household income showed a statistically </w:t>
      </w:r>
      <w:r w:rsidRPr="000E2396">
        <w:rPr>
          <w:i/>
          <w:iCs/>
        </w:rPr>
        <w:t>[significant / insignificant]</w:t>
      </w:r>
      <w:r w:rsidRPr="000E2396">
        <w:t xml:space="preserve"> </w:t>
      </w:r>
      <w:r w:rsidRPr="000E2396">
        <w:rPr>
          <w:i/>
          <w:iCs/>
        </w:rPr>
        <w:t>[positive / negative]</w:t>
      </w:r>
      <w:r w:rsidRPr="000E2396">
        <w:t xml:space="preserve"> relationship with minimum wage increases (coefficient: </w:t>
      </w:r>
      <w:r w:rsidRPr="000E2396">
        <w:rPr>
          <w:i/>
          <w:iCs/>
        </w:rPr>
        <w:t>[X]</w:t>
      </w:r>
      <w:r w:rsidRPr="000E2396">
        <w:t xml:space="preserve">, p = </w:t>
      </w:r>
      <w:r w:rsidRPr="000E2396">
        <w:rPr>
          <w:i/>
          <w:iCs/>
        </w:rPr>
        <w:t>[X]</w:t>
      </w:r>
      <w:r w:rsidRPr="000E2396">
        <w:t xml:space="preserve">), indicating </w:t>
      </w:r>
      <w:r w:rsidRPr="000E2396">
        <w:rPr>
          <w:i/>
          <w:iCs/>
        </w:rPr>
        <w:t>[interpretation]</w:t>
      </w:r>
      <w:r w:rsidRPr="000E2396">
        <w:t>.</w:t>
      </w:r>
    </w:p>
    <w:p w14:paraId="6D23585A" w14:textId="77777777">
      <w:pPr>
        <w:pStyle w:val="Heading1"/>
        <w:spacing w:before="320" w:after="140"/>
        <w:rPr>
          <w:color w:val="auto"/>
        </w:rPr>
      </w:pPr>
      <w:r>
        <w:rPr>
          <w:rFonts w:ascii="Times New Roman" w:hAnsi="Times New Roman" w:eastAsia="Times New Roman" w:cs="Times New Roman"/>
          <w:b/>
          <w:bCs/>
          <w:sz w:val="26"/>
          <w:szCs w:val="26"/>
        </w:rPr>
        <w:t>The Combined Picture</w:t>
      </w:r>
    </w:p>
    <w:p w14:paraId="6D23585B" w14:textId="77777777" w:rsidR="003D0667" w:rsidRPr="000E2396" w:rsidRDefault="001631F5">
      <w:pPr>
        <w:spacing w:after="160" w:line="276" w:lineRule="auto"/>
      </w:pPr>
      <w:r w:rsidRPr="000E2396">
        <w:t xml:space="preserve">Taken together, our three outcome measures </w:t>
      </w:r>
      <w:r w:rsidRPr="000E2396">
        <w:rPr>
          <w:i/>
          <w:iCs/>
        </w:rPr>
        <w:t>[paint a consistent / paint a mixed]</w:t>
      </w:r>
      <w:r w:rsidRPr="000E2396">
        <w:t xml:space="preserve"> picture: state-level minimum wage increases above the federal floor </w:t>
      </w:r>
      <w:r w:rsidRPr="000E2396">
        <w:rPr>
          <w:i/>
          <w:iCs/>
        </w:rPr>
        <w:t>[are / are not]</w:t>
      </w:r>
      <w:r w:rsidRPr="000E2396">
        <w:t xml:space="preserve"> associated with the unemployment increases that critics of the Warren–Murphy proposal predict, while showing </w:t>
      </w:r>
      <w:r w:rsidRPr="000E2396">
        <w:rPr>
          <w:i/>
          <w:iCs/>
        </w:rPr>
        <w:t>[modest but measurable / limited / no]</w:t>
      </w:r>
      <w:r w:rsidRPr="000E2396">
        <w:t xml:space="preserve"> improvements in poverty rates and household income.</w:t>
      </w:r>
    </w:p>
    <w:p w14:paraId="6D23585C" w14:textId="77777777" w:rsidR="003D0667" w:rsidRPr="000E2396" w:rsidRDefault="001631F5">
      <w:pPr>
        <w:spacing w:after="160" w:line="276" w:lineRule="auto"/>
      </w:pPr>
      <w:r w:rsidRPr="000E2396">
        <w:t xml:space="preserve">If the pattern observed at the state level holds at the federal level — a significant caveat discussed below — a $17 federal minimum wage floor would be expected to </w:t>
      </w:r>
      <w:r w:rsidRPr="000E2396">
        <w:rPr>
          <w:i/>
          <w:iCs/>
        </w:rPr>
        <w:t>[X — summarize the extrapolated implication]</w:t>
      </w:r>
      <w:r w:rsidRPr="000E2396">
        <w:t>.</w:t>
      </w:r>
    </w:p>
    <w:p w14:paraId="6D23585D" w14:textId="77777777">
      <w:pPr>
        <w:pStyle w:val="Heading1"/>
        <w:spacing w:before="320" w:after="140"/>
        <w:rPr>
          <w:color w:val="auto"/>
        </w:rPr>
      </w:pPr>
      <w:r>
        <w:lastRenderedPageBreak/>
        <w:rPr>
          <w:rFonts w:ascii="Times New Roman" w:hAnsi="Times New Roman" w:eastAsia="Times New Roman" w:cs="Times New Roman"/>
          <w:b/>
          <w:bCs/>
          <w:sz w:val="26"/>
          <w:szCs w:val="26"/>
        </w:rPr>
        <w:t>Limitations &amp; What We Cannot Conclude</w:t>
      </w:r>
    </w:p>
    <w:p w14:paraId="6D23585E" w14:textId="77777777" w:rsidR="003D0667" w:rsidRPr="000E2396" w:rsidRDefault="001631F5">
      <w:pPr>
        <w:pStyle w:val="ListParagraph"/>
        <w:numPr>
          <w:ilvl w:val="0"/>
          <w:numId w:val="2"/>
        </w:numPr>
        <w:spacing w:after="100" w:line="276" w:lineRule="auto"/>
      </w:pPr>
      <w:r w:rsidRPr="000E2396">
        <w:t>Observational data, not a controlled experiment — this design supports strong association claims but cannot prove causation.</w:t>
      </w:r>
    </w:p>
    <w:p w14:paraId="6D23585F" w14:textId="77777777" w:rsidR="003D0667" w:rsidRPr="000E2396" w:rsidRDefault="001631F5">
      <w:pPr>
        <w:pStyle w:val="ListParagraph"/>
        <w:numPr>
          <w:ilvl w:val="0"/>
          <w:numId w:val="2"/>
        </w:numPr>
        <w:spacing w:after="100" w:line="276" w:lineRule="auto"/>
      </w:pPr>
      <w:r w:rsidRPr="000E2396">
        <w:t>The unemployment rate misses hours reductions, underemployment, and labor force participation changes that a wage increase could still cause.</w:t>
      </w:r>
    </w:p>
    <w:p w14:paraId="6D235860" w14:textId="77777777" w:rsidR="003D0667" w:rsidRPr="000E2396" w:rsidRDefault="001631F5">
      <w:pPr>
        <w:pStyle w:val="ListParagraph"/>
        <w:numPr>
          <w:ilvl w:val="0"/>
          <w:numId w:val="2"/>
        </w:numPr>
        <w:spacing w:after="100" w:line="276" w:lineRule="auto"/>
      </w:pPr>
      <w:r w:rsidRPr="000E2396">
        <w:t>State-level results may not generalize cleanly to a federal increase: a business can relocate to a lower-wage state, but no state can leave the country the way a firm can leave a high-wage state.</w:t>
      </w:r>
    </w:p>
    <w:p w14:paraId="6D235861" w14:textId="77777777" w:rsidR="003D0667" w:rsidRPr="000E2396" w:rsidRDefault="001631F5">
      <w:pPr>
        <w:pStyle w:val="ListParagraph"/>
        <w:numPr>
          <w:ilvl w:val="0"/>
          <w:numId w:val="2"/>
        </w:numPr>
        <w:spacing w:after="100" w:line="276" w:lineRule="auto"/>
      </w:pPr>
      <w:r w:rsidRPr="000E2396">
        <w:t>Cost-of-living differences across states complicate direct comparison of nominal wage effects.</w:t>
      </w:r>
    </w:p>
    <w:p w14:paraId="6D235862" w14:textId="77777777" w:rsidR="003D0667" w:rsidRPr="000E2396" w:rsidRDefault="001631F5">
      <w:pPr>
        <w:pStyle w:val="ListParagraph"/>
        <w:numPr>
          <w:ilvl w:val="0"/>
          <w:numId w:val="2"/>
        </w:numPr>
        <w:spacing w:after="100" w:line="276" w:lineRule="auto"/>
      </w:pPr>
      <w:r w:rsidRPr="000E2396">
        <w:t>The federal minimum wage has been stuck at $7.25 since 2009, leaving limited recent federal-level variation to study directly — all federal-level inference here is an extrapolation from state variation.</w:t>
      </w:r>
    </w:p>
    <w:p w14:paraId="6D235863" w14:textId="77777777">
      <w:pPr>
        <w:pStyle w:val="Heading1"/>
        <w:spacing w:before="320" w:after="140"/>
        <w:rPr>
          <w:color w:val="auto"/>
        </w:rPr>
      </w:pPr>
      <w:r>
        <w:rPr>
          <w:rFonts w:ascii="Times New Roman" w:hAnsi="Times New Roman" w:eastAsia="Times New Roman" w:cs="Times New Roman"/>
          <w:b/>
          <w:bCs/>
          <w:sz w:val="26"/>
          <w:szCs w:val="26"/>
        </w:rPr>
        <w:t>Policy Implication</w:t>
      </w:r>
    </w:p>
    <w:p w14:paraId="6D235864" w14:textId="77777777" w:rsidR="003D0667" w:rsidRPr="000E2396" w:rsidRDefault="001631F5">
      <w:pPr>
        <w:spacing w:after="160" w:line="276" w:lineRule="auto"/>
      </w:pPr>
      <w:r w:rsidRPr="000E2396">
        <w:t xml:space="preserve">The empirical evidence from state-level natural experiments suggests </w:t>
      </w:r>
      <w:r w:rsidRPr="000E2396">
        <w:rPr>
          <w:i/>
          <w:iCs/>
        </w:rPr>
        <w:t>[X — summary of the net finding]</w:t>
      </w:r>
      <w:r w:rsidRPr="000E2396">
        <w:t xml:space="preserve">, which implies </w:t>
      </w:r>
      <w:r w:rsidRPr="000E2396">
        <w:rPr>
          <w:i/>
          <w:iCs/>
        </w:rPr>
        <w:t>[Y — what this means for the Warren–Murphy proposal specifically]</w:t>
      </w:r>
      <w:r w:rsidRPr="000E2396">
        <w:t xml:space="preserve">. Policymakers should weigh this evidence alongside </w:t>
      </w:r>
      <w:r w:rsidRPr="000E2396">
        <w:rPr>
          <w:i/>
          <w:iCs/>
        </w:rPr>
        <w:t>[factors this analysis does not capture, e.g., regional cost-of-living variation, small-business margin sensitivity, phase-in timelines]</w:t>
      </w:r>
      <w:r w:rsidRPr="000E2396">
        <w:t>.</w:t>
      </w:r>
    </w:p>
    <w:p w14:paraId="6D235865" w14:textId="77777777" w:rsidR="003D0667" w:rsidRPr="000E2396" w:rsidRDefault="003D0667">
      <w:pPr>
        <w:pBdr>
          <w:bottom w:val="single" w:sz="6" w:space="4" w:color="BFBFBF"/>
        </w:pBdr>
        <w:spacing w:after="200"/>
      </w:pPr>
    </w:p>
    <w:p w14:paraId="6D235866" w14:textId="2A926FDD" w:rsidR="003D0667" w:rsidRPr="000E2396" w:rsidRDefault="001631F5">
      <w:pPr>
        <w:spacing w:before="200"/>
      </w:pPr>
      <w:r w:rsidRPr="000E2396">
        <w:rPr>
          <w:i/>
          <w:iCs/>
          <w:sz w:val="16"/>
          <w:szCs w:val="16"/>
        </w:rPr>
        <w:t xml:space="preserve">Methodology, data sources, and full regression output available on request. This brief is an illustrative student </w:t>
      </w:r>
      <w:r w:rsidRPr="000E2396">
        <w:rPr>
          <w:i/>
          <w:iCs/>
          <w:sz w:val="16"/>
          <w:szCs w:val="16"/>
        </w:rPr>
        <w:t>project; it is not affiliated with or endorsed by NBC News.</w:t>
      </w:r>
    </w:p>
    <w:sectPr w:rsidR="003D0667" w:rsidRPr="000E2396">
      <w:pgSz w:w="12240" w:h="15840"/>
      <w:pgMar w:top="1080" w:right="1200" w:bottom="108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1927FB"/>
    <w:multiLevelType w:val="hybridMultilevel"/>
    <w:tmpl w:val="EAF8DEB4"/>
    <w:lvl w:ilvl="0" w:tplc="4F3ABBB6">
      <w:start w:val="1"/>
      <w:numFmt w:val="bullet"/>
      <w:lvlText w:val="•"/>
      <w:lvlJc w:val="left"/>
      <w:pPr>
        <w:ind w:left="360" w:hanging="260"/>
      </w:pPr>
    </w:lvl>
    <w:lvl w:ilvl="1" w:tplc="E9C27912">
      <w:numFmt w:val="decimal"/>
      <w:lvlText w:val=""/>
      <w:lvlJc w:val="left"/>
    </w:lvl>
    <w:lvl w:ilvl="2" w:tplc="22F8FFC8">
      <w:numFmt w:val="decimal"/>
      <w:lvlText w:val=""/>
      <w:lvlJc w:val="left"/>
    </w:lvl>
    <w:lvl w:ilvl="3" w:tplc="49D03ACE">
      <w:numFmt w:val="decimal"/>
      <w:lvlText w:val=""/>
      <w:lvlJc w:val="left"/>
    </w:lvl>
    <w:lvl w:ilvl="4" w:tplc="7B58615C">
      <w:numFmt w:val="decimal"/>
      <w:lvlText w:val=""/>
      <w:lvlJc w:val="left"/>
    </w:lvl>
    <w:lvl w:ilvl="5" w:tplc="924E5726">
      <w:numFmt w:val="decimal"/>
      <w:lvlText w:val=""/>
      <w:lvlJc w:val="left"/>
    </w:lvl>
    <w:lvl w:ilvl="6" w:tplc="A92A26F0">
      <w:numFmt w:val="decimal"/>
      <w:lvlText w:val=""/>
      <w:lvlJc w:val="left"/>
    </w:lvl>
    <w:lvl w:ilvl="7" w:tplc="1512AC96">
      <w:numFmt w:val="decimal"/>
      <w:lvlText w:val=""/>
      <w:lvlJc w:val="left"/>
    </w:lvl>
    <w:lvl w:ilvl="8" w:tplc="862020A0">
      <w:numFmt w:val="decimal"/>
      <w:lvlText w:val=""/>
      <w:lvlJc w:val="left"/>
    </w:lvl>
  </w:abstractNum>
  <w:abstractNum w:abstractNumId="1" w15:restartNumberingAfterBreak="0">
    <w:nsid w:val="7FFB1226"/>
    <w:multiLevelType w:val="hybridMultilevel"/>
    <w:tmpl w:val="B6627CC8"/>
    <w:lvl w:ilvl="0" w:tplc="94E21096">
      <w:start w:val="1"/>
      <w:numFmt w:val="bullet"/>
      <w:lvlText w:val="●"/>
      <w:lvlJc w:val="left"/>
      <w:pPr>
        <w:ind w:left="720" w:hanging="360"/>
      </w:pPr>
    </w:lvl>
    <w:lvl w:ilvl="1" w:tplc="CE4274FC">
      <w:start w:val="1"/>
      <w:numFmt w:val="bullet"/>
      <w:lvlText w:val="○"/>
      <w:lvlJc w:val="left"/>
      <w:pPr>
        <w:ind w:left="1440" w:hanging="360"/>
      </w:pPr>
    </w:lvl>
    <w:lvl w:ilvl="2" w:tplc="6AA26856">
      <w:start w:val="1"/>
      <w:numFmt w:val="bullet"/>
      <w:lvlText w:val="■"/>
      <w:lvlJc w:val="left"/>
      <w:pPr>
        <w:ind w:left="2160" w:hanging="360"/>
      </w:pPr>
    </w:lvl>
    <w:lvl w:ilvl="3" w:tplc="0A56EA82">
      <w:start w:val="1"/>
      <w:numFmt w:val="bullet"/>
      <w:lvlText w:val="●"/>
      <w:lvlJc w:val="left"/>
      <w:pPr>
        <w:ind w:left="2880" w:hanging="360"/>
      </w:pPr>
    </w:lvl>
    <w:lvl w:ilvl="4" w:tplc="1390C3C4">
      <w:start w:val="1"/>
      <w:numFmt w:val="bullet"/>
      <w:lvlText w:val="○"/>
      <w:lvlJc w:val="left"/>
      <w:pPr>
        <w:ind w:left="3600" w:hanging="360"/>
      </w:pPr>
    </w:lvl>
    <w:lvl w:ilvl="5" w:tplc="C3C0486E">
      <w:start w:val="1"/>
      <w:numFmt w:val="bullet"/>
      <w:lvlText w:val="■"/>
      <w:lvlJc w:val="left"/>
      <w:pPr>
        <w:ind w:left="4320" w:hanging="360"/>
      </w:pPr>
    </w:lvl>
    <w:lvl w:ilvl="6" w:tplc="15B086FA">
      <w:start w:val="1"/>
      <w:numFmt w:val="bullet"/>
      <w:lvlText w:val="●"/>
      <w:lvlJc w:val="left"/>
      <w:pPr>
        <w:ind w:left="5040" w:hanging="360"/>
      </w:pPr>
    </w:lvl>
    <w:lvl w:ilvl="7" w:tplc="8C46D228">
      <w:start w:val="1"/>
      <w:numFmt w:val="bullet"/>
      <w:lvlText w:val="●"/>
      <w:lvlJc w:val="left"/>
      <w:pPr>
        <w:ind w:left="5760" w:hanging="360"/>
      </w:pPr>
    </w:lvl>
    <w:lvl w:ilvl="8" w:tplc="E83CEB12">
      <w:start w:val="1"/>
      <w:numFmt w:val="bullet"/>
      <w:lvlText w:val="●"/>
      <w:lvlJc w:val="left"/>
      <w:pPr>
        <w:ind w:left="6480" w:hanging="360"/>
      </w:pPr>
    </w:lvl>
  </w:abstractNum>
  <w:num w:numId="1" w16cid:durableId="193032957">
    <w:abstractNumId w:val="1"/>
    <w:lvlOverride w:ilvl="0">
      <w:startOverride w:val="1"/>
    </w:lvlOverride>
  </w:num>
  <w:num w:numId="2" w16cid:durableId="746681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667"/>
    <w:rsid w:val="000E2396"/>
    <w:rsid w:val="001631F5"/>
    <w:rsid w:val="003D0667"/>
    <w:rsid w:val="00C1234E"/>
    <w:rsid w:val="00F557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35839"/>
  <w15:docId w15:val="{8DEEBC78-4407-4024-BF6E-2FC7501D1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1191</Words>
  <Characters>6790</Characters>
  <Application>Microsoft Office Word</Application>
  <DocSecurity>0</DocSecurity>
  <Lines>56</Lines>
  <Paragraphs>15</Paragraphs>
  <ScaleCrop>false</ScaleCrop>
  <Company/>
  <LinksUpToDate>false</LinksUpToDate>
  <CharactersWithSpaces>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Igbokwe</cp:lastModifiedBy>
  <cp:revision>3</cp:revision>
  <dcterms:created xsi:type="dcterms:W3CDTF">2026-07-12T20:06:00Z</dcterms:created>
  <dcterms:modified xsi:type="dcterms:W3CDTF">2026-07-12T21:27:46.916Z</dcterms:modified>
</cp:coreProperties>
</file>