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A1E3D" w:val="clear"/>
            <w:tcBorders>
              <w:top w:val="nil" w:sz="0" w:color="0A1E3D" w:space="0"/>
              <w:left w:val="nil" w:sz="0" w:color="0A1E3D" w:space="0"/>
              <w:bottom w:val="nil" w:sz="0" w:color="0A1E3D" w:space="0"/>
              <w:right w:val="nil" w:sz="0" w:color="0A1E3D" w:space="0"/>
            </w:tcBorders>
            <w:tcMar>
              <w:top w:w="180" w:type="dxa"/>
              <w:left w:w="200" w:type="dxa"/>
              <w:bottom w:w="180" w:type="dxa"/>
              <w:right w:w="20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64B5F6"/>
                <w:sz w:val="24"/>
              </w:rPr>
              <w:t>JESUS GENERATION</w:t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Informe de revisión — Sprint 1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BBDEFB"/>
                <w:sz w:val="26"/>
              </w:rPr>
              <w:t>Home en inglés lista para su revisión</w:t>
            </w:r>
          </w:p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90CAF9"/>
                <w:sz w:val="20"/>
              </w:rPr>
              <w:t>5 de octubre de 2026  ·  Revisión prevista: martes 7 de octubre de 2026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FFFFFF"/>
                <w:sz w:val="22"/>
              </w:rPr>
              <w:t>Reach. Equip. Multiply.</w:t>
            </w:r>
          </w:p>
        </w:tc>
      </w:tr>
    </w:tbl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D47A1" w:val="clear"/>
            <w:tcBorders>
              <w:top w:val="nil" w:sz="0" w:color="0D47A1" w:space="0"/>
              <w:left w:val="nil" w:sz="0" w:color="0D47A1" w:space="0"/>
              <w:bottom w:val="nil" w:sz="0" w:color="0D47A1" w:space="0"/>
              <w:right w:val="nil" w:sz="0" w:color="0D47A1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ENLACE PARA REVISAR LA HOME  —  ábralo primero</w:t>
            </w:r>
          </w:p>
          <w:p>
            <w:pPr>
              <w:spacing w:after="40"/>
              <w:jc w:val="center"/>
            </w:pPr>
            <w:hyperlink r:id="rId10">
              <w:r>
                <w:rPr>
                  <w:rFonts w:ascii="Calibri" w:hAnsi="Calibri"/>
                  <w:sz w:val="32"/>
                  <w:szCs w:val="32"/>
                  <w:color w:val="FFFFFF"/>
                  <w:u w:val="single"/>
                  <w:b/>
                </w:rPr>
                <w:t xml:space="preserve">https://link.followdrip.com/preview/4er05JsHFOuPtUACePQV</w:t>
              </w:r>
            </w:hyperlink>
          </w:p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4"/>
              </w:rPr>
              <w:t>Este enlace es de revisión. Todavía no es la publicación en el dominio final.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4"/>
              </w:rPr>
              <w:t>Revise en escritorio, tableta y teléfono.</w:t>
            </w:r>
          </w:p>
        </w:tc>
      </w:tr>
    </w:tbl>
    <w:p>
      <w:pPr>
        <w:spacing w:after="120"/>
      </w:pP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Este informe cierra el Sprint 1 acordado el 30 de septiembre de 2026: la Home en inglés, construida como producto final, más las páginas temporales “en construcción”. Usted aprueba o anota cambios. El sitio no se publica al público hasta su aprobación.</w:t>
      </w:r>
    </w:p>
    <w:p>
      <w:pPr>
        <w:spacing w:before="360" w:after="160"/>
        <w:pBdr>
          <w:bottom w:val="single" w:sz="12" w:space="4" w:color="1E88E5"/>
        </w:pBdr>
      </w:pPr>
      <w:r>
        <w:rPr>
          <w:rFonts w:ascii="Calibri" w:hAnsi="Calibri" w:eastAsia="Calibri"/>
          <w:b/>
          <w:i w:val="0"/>
          <w:color w:val="0A1E3D"/>
          <w:sz w:val="32"/>
        </w:rPr>
        <w:t>1. Cómo revisar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2B2D31"/>
          <w:sz w:val="22"/>
        </w:rPr>
        <w:t>Abra el enlace de arriba en Chrome o Safari.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2B2D31"/>
          <w:sz w:val="22"/>
        </w:rPr>
        <w:t>Revise escritorio (más de 1200 px), tableta y teléfono. En el teléfono, el menú se abre con el botón de tres líneas; Get Involved y Give permanecen visibles.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2B2D31"/>
          <w:sz w:val="22"/>
        </w:rPr>
        <w:t>Recorra toda la página: hero, cosecha, regalos, por qué importa, cifras, cierre y pie de página.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2B2D31"/>
          <w:sz w:val="22"/>
        </w:rPr>
        <w:t>Pulse Home, About, Contact, Get Involved y Give. About, Contact, Get Involved y Give abren una página sencilla de “en construcción”, con el mismo encabezado, y un botón para volver a Home.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2B2D31"/>
          <w:sz w:val="22"/>
        </w:rPr>
        <w:t>En el pie de página, pruebe una vez el boletín (correo + casilla de consentimiento). Recibirá el mensaje de bienvenida de prueba que se describe más abajo.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7A7D85"/>
          <w:sz w:val="22"/>
        </w:rPr>
        <w:t>Si algo no se ve bien, anótelo en la sección 6 con el dispositivo y el ancho de pantalla. Preferimos cambios concretos (“el título del hero se corta en iPhone”) antes que impresiones generales.</w:t>
      </w:r>
    </w:p>
    <w:p>
      <w:pPr>
        <w:spacing w:before="360" w:after="160"/>
        <w:pBdr>
          <w:bottom w:val="single" w:sz="12" w:space="4" w:color="1E88E5"/>
        </w:pBdr>
      </w:pPr>
      <w:r>
        <w:rPr>
          <w:rFonts w:ascii="Calibri" w:hAnsi="Calibri" w:eastAsia="Calibri"/>
          <w:b/>
          <w:i w:val="0"/>
          <w:color w:val="0A1E3D"/>
          <w:sz w:val="32"/>
        </w:rPr>
        <w:t>2. Lo que queda entregado en este sprint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La Home pública en inglés ya está montada en GoHighLevel. Esto es lo que un visitante encuentra hoy: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Navegación.  </w:t>
      </w:r>
      <w:r>
        <w:rPr>
          <w:rFonts w:ascii="Calibri" w:hAnsi="Calibri" w:eastAsia="Calibri"/>
          <w:b w:val="0"/>
          <w:i w:val="0"/>
          <w:color w:val="2B2D31"/>
          <w:sz w:val="22"/>
        </w:rPr>
        <w:t>Menú público HOME | ABOUT | CONTACT. Botones permanentes GET INVOLVED (azul royal) y GIVE (rojo). El texto del botón es GIVE, no “GIVE TODAY”.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Estado activo.  </w:t>
      </w:r>
      <w:r>
        <w:rPr>
          <w:rFonts w:ascii="Calibri" w:hAnsi="Calibri" w:eastAsia="Calibri"/>
          <w:b w:val="0"/>
          <w:i w:val="0"/>
          <w:color w:val="2B2D31"/>
          <w:sz w:val="22"/>
        </w:rPr>
        <w:t>En Get Involved y Give, el botón de la página actual pasa a outline (fondo blanco, borde de color) para marcar dónde está el visitante, sin subrayar un botón.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Mensaje.  </w:t>
      </w:r>
      <w:r>
        <w:rPr>
          <w:rFonts w:ascii="Calibri" w:hAnsi="Calibri" w:eastAsia="Calibri"/>
          <w:b w:val="0"/>
          <w:i w:val="0"/>
          <w:color w:val="2B2D31"/>
          <w:sz w:val="22"/>
        </w:rPr>
        <w:t>Frase pública Reach. Equip. Multiply. El nombre se escribe Jesus Generation. La Academia no aparece en el menú, en las cifras ni en ninguna sección pública.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Secciones.  </w:t>
      </w:r>
      <w:r>
        <w:rPr>
          <w:rFonts w:ascii="Calibri" w:hAnsi="Calibri" w:eastAsia="Calibri"/>
          <w:b w:val="0"/>
          <w:i w:val="0"/>
          <w:color w:val="2B2D31"/>
          <w:sz w:val="22"/>
        </w:rPr>
        <w:t>Hero, The Seeds Are Planted (Go / Serve / Give), Choose Your Part in the Harvest, Why your participation matters, Established Relationships y el cierre There Is a Place for You.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Ofrendas.  </w:t>
      </w:r>
      <w:r>
        <w:rPr>
          <w:rFonts w:ascii="Calibri" w:hAnsi="Calibri" w:eastAsia="Calibri"/>
          <w:b w:val="0"/>
          <w:i w:val="0"/>
          <w:color w:val="2B2D31"/>
          <w:sz w:val="22"/>
        </w:rPr>
        <w:t>Los cuatro niveles de ofrenda están en la Home: chaplain scholarship, school Bible class, webinar y country leadership team, con montos y tipo de donación (única o mensual).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Enlaces honestos.  </w:t>
      </w:r>
      <w:r>
        <w:rPr>
          <w:rFonts w:ascii="Calibri" w:hAnsi="Calibri" w:eastAsia="Calibri"/>
          <w:b w:val="0"/>
          <w:i w:val="0"/>
          <w:color w:val="2B2D31"/>
          <w:sz w:val="22"/>
        </w:rPr>
        <w:t>About, Contact, Get Involved y Give no fingen estar listas: llevan a “This page is under construction” / “This section will be built at a later stage.”, con botón Back to Home.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Sin testimonios no verificados.  </w:t>
      </w:r>
      <w:r>
        <w:rPr>
          <w:rFonts w:ascii="Calibri" w:hAnsi="Calibri" w:eastAsia="Calibri"/>
          <w:b w:val="0"/>
          <w:i w:val="0"/>
          <w:color w:val="2B2D31"/>
          <w:sz w:val="22"/>
        </w:rPr>
        <w:t>Stories y Know Jesus no están en el menú principal. No hay testimonios con nombre, ni citas de menores, ni formulario público para enviar historias.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Boletín.  </w:t>
      </w:r>
      <w:r>
        <w:rPr>
          <w:rFonts w:ascii="Calibri" w:hAnsi="Calibri" w:eastAsia="Calibri"/>
          <w:b w:val="0"/>
          <w:i w:val="0"/>
          <w:color w:val="2B2D31"/>
          <w:sz w:val="22"/>
        </w:rPr>
        <w:t>Formulario nativo de GoHighLevel en el pie (correo + casilla de consentimiento). Una consulta o una petición de oración no inscriben al boletín. El envío es real, no simulado.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Imágenes.  </w:t>
      </w:r>
      <w:r>
        <w:rPr>
          <w:rFonts w:ascii="Calibri" w:hAnsi="Calibri" w:eastAsia="Calibri"/>
          <w:b w:val="0"/>
          <w:i w:val="0"/>
          <w:color w:val="2B2D31"/>
          <w:sz w:val="22"/>
        </w:rPr>
        <w:t>Fotografías servidas en alta resolución (no el recorte de 320 px de GoHighLevel), con texto alternativo en las imágenes que llevan significado. Logo horizontal en SVG.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Marca.  </w:t>
      </w:r>
      <w:r>
        <w:rPr>
          <w:rFonts w:ascii="Calibri" w:hAnsi="Calibri" w:eastAsia="Calibri"/>
          <w:b w:val="0"/>
          <w:i w:val="0"/>
          <w:color w:val="2B2D31"/>
          <w:sz w:val="22"/>
        </w:rPr>
        <w:t>Tipografía y color de marca: Montserrat en titulares, Inter en cuerpo. Royal #0D47A1, Sky #1E88E5, Navy #0A1E3D, Give #E53935.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Movimiento.  </w:t>
      </w:r>
      <w:r>
        <w:rPr>
          <w:rFonts w:ascii="Calibri" w:hAnsi="Calibri" w:eastAsia="Calibri"/>
          <w:b w:val="0"/>
          <w:i w:val="0"/>
          <w:color w:val="2B2D31"/>
          <w:sz w:val="22"/>
        </w:rPr>
        <w:t>Animaciones breves al entrar (hero y secciones), hover en botones y tarjetas, menú móvil. El movimiento se reduce si el sistema pide menos animación.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0A1E3D"/>
          <w:sz w:val="22"/>
        </w:rPr>
        <w:t xml:space="preserve">Idioma.  </w:t>
      </w:r>
      <w:r>
        <w:rPr>
          <w:rFonts w:ascii="Calibri" w:hAnsi="Calibri" w:eastAsia="Calibri"/>
          <w:b w:val="0"/>
          <w:i w:val="0"/>
          <w:color w:val="2B2D31"/>
          <w:sz w:val="22"/>
        </w:rPr>
        <w:t>El inglés se completa y se aprueba antes de construir el español. No hay conmutador EN | ES en esta Home.</w:t>
      </w:r>
    </w:p>
    <w:p>
      <w:pPr>
        <w:spacing w:before="360" w:after="160"/>
        <w:pBdr>
          <w:bottom w:val="single" w:sz="12" w:space="4" w:color="1E88E5"/>
        </w:pBdr>
      </w:pPr>
      <w:r>
        <w:rPr>
          <w:rFonts w:ascii="Calibri" w:hAnsi="Calibri" w:eastAsia="Calibri"/>
          <w:b/>
          <w:i w:val="0"/>
          <w:color w:val="0A1E3D"/>
          <w:sz w:val="32"/>
        </w:rPr>
        <w:t>3. Historias del Sprint 1 — estado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8"/>
            <w:shd w:fill="0A1E3D" w:val="clear"/>
            <w:tcBorders>
              <w:top w:val="single" w:sz="4" w:color="0A1E3D" w:space="0"/>
              <w:left w:val="single" w:sz="4" w:color="0A1E3D" w:space="0"/>
              <w:bottom w:val="single" w:sz="4" w:color="0A1E3D" w:space="0"/>
              <w:right w:val="single" w:sz="4" w:color="0A1E3D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Historia del Sprint 1</w:t>
            </w:r>
          </w:p>
        </w:tc>
        <w:tc>
          <w:tcPr>
            <w:tcW w:type="dxa" w:w="2041"/>
            <w:shd w:fill="0A1E3D" w:val="clear"/>
            <w:tcBorders>
              <w:top w:val="single" w:sz="4" w:color="0A1E3D" w:space="0"/>
              <w:left w:val="single" w:sz="4" w:color="0A1E3D" w:space="0"/>
              <w:bottom w:val="single" w:sz="4" w:color="0A1E3D" w:space="0"/>
              <w:right w:val="single" w:sz="4" w:color="0A1E3D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4535"/>
            <w:shd w:fill="0A1E3D" w:val="clear"/>
            <w:tcBorders>
              <w:top w:val="single" w:sz="4" w:color="0A1E3D" w:space="0"/>
              <w:left w:val="single" w:sz="4" w:color="0A1E3D" w:space="0"/>
              <w:bottom w:val="single" w:sz="4" w:color="0A1E3D" w:space="0"/>
              <w:right w:val="single" w:sz="4" w:color="0A1E3D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Cómo se ve en la Home</w:t>
            </w:r>
          </w:p>
        </w:tc>
      </w:tr>
      <w:tr>
        <w:tc>
          <w:tcPr>
            <w:tcW w:type="dxa" w:w="2948"/>
            <w:shd w:fill="F0F2F5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1. Navegación simple</w:t>
            </w:r>
          </w:p>
        </w:tc>
        <w:tc>
          <w:tcPr>
            <w:tcW w:type="dxa" w:w="2041"/>
            <w:shd w:fill="E8F5E9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B7A4E"/>
                <w:sz w:val="20"/>
              </w:rPr>
              <w:t>Listo</w:t>
            </w:r>
          </w:p>
        </w:tc>
        <w:tc>
          <w:tcPr>
            <w:tcW w:type="dxa" w:w="4535"/>
            <w:shd w:fill="F0F2F5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HOME, ABOUT, CONTACT + GET INVOLVED y GIVE rojo. Academy, Stories y Know Jesus fuera de la barra.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2. Mensaje en segundos</w:t>
            </w:r>
          </w:p>
        </w:tc>
        <w:tc>
          <w:tcPr>
            <w:tcW w:type="dxa" w:w="2041"/>
            <w:shd w:fill="E8F5E9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B7A4E"/>
                <w:sz w:val="20"/>
              </w:rPr>
              <w:t>Listo</w:t>
            </w:r>
          </w:p>
        </w:tc>
        <w:tc>
          <w:tcPr>
            <w:tcW w:type="dxa" w:w="4535"/>
            <w:shd w:fill="FFFFFF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Reach. Equip. Multiply. Jesus Generation. Academia fuera del relato público.</w:t>
            </w:r>
          </w:p>
        </w:tc>
      </w:tr>
      <w:tr>
        <w:tc>
          <w:tcPr>
            <w:tcW w:type="dxa" w:w="2948"/>
            <w:shd w:fill="F0F2F5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3. Cifras reales</w:t>
            </w:r>
          </w:p>
        </w:tc>
        <w:tc>
          <w:tcPr>
            <w:tcW w:type="dxa" w:w="2041"/>
            <w:shd w:fill="FFF8E1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C77800"/>
                <w:sz w:val="20"/>
              </w:rPr>
              <w:t>Parcial</w:t>
            </w:r>
          </w:p>
        </w:tc>
        <w:tc>
          <w:tcPr>
            <w:tcW w:type="dxa" w:w="4535"/>
            <w:shd w:fill="F0F2F5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Se muestran solo las cifras ya autorizadas: 20+ nations y 41,000 schools. No se inventaron ni se redondearon otras. Falta el informe exacto de Erika para sustituirlas si corresponde.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4. Sin Academia pública</w:t>
            </w:r>
          </w:p>
        </w:tc>
        <w:tc>
          <w:tcPr>
            <w:tcW w:type="dxa" w:w="2041"/>
            <w:shd w:fill="E8F5E9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B7A4E"/>
                <w:sz w:val="20"/>
              </w:rPr>
              <w:t>Listo</w:t>
            </w:r>
          </w:p>
        </w:tc>
        <w:tc>
          <w:tcPr>
            <w:tcW w:type="dxa" w:w="4535"/>
            <w:shd w:fill="FFFFFF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Fuera del menú, de las cifras y de la Home. Sin login ni catálogo.</w:t>
            </w:r>
          </w:p>
        </w:tc>
      </w:tr>
      <w:tr>
        <w:tc>
          <w:tcPr>
            <w:tcW w:type="dxa" w:w="2948"/>
            <w:shd w:fill="F0F2F5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5. Sin testimonios inventados</w:t>
            </w:r>
          </w:p>
        </w:tc>
        <w:tc>
          <w:tcPr>
            <w:tcW w:type="dxa" w:w="2041"/>
            <w:shd w:fill="E8F5E9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B7A4E"/>
                <w:sz w:val="20"/>
              </w:rPr>
              <w:t>Listo</w:t>
            </w:r>
          </w:p>
        </w:tc>
        <w:tc>
          <w:tcPr>
            <w:tcW w:type="dxa" w:w="4535"/>
            <w:shd w:fill="F0F2F5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Se retiró la cita provisional. No se sustituyó por otro testimonio.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6. Enlaces honestos</w:t>
            </w:r>
          </w:p>
        </w:tc>
        <w:tc>
          <w:tcPr>
            <w:tcW w:type="dxa" w:w="2041"/>
            <w:shd w:fill="E8F5E9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B7A4E"/>
                <w:sz w:val="20"/>
              </w:rPr>
              <w:t>Listo</w:t>
            </w:r>
          </w:p>
        </w:tc>
        <w:tc>
          <w:tcPr>
            <w:tcW w:type="dxa" w:w="4535"/>
            <w:shd w:fill="FFFFFF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About, Contact, Get Involved y Give abren “en construcción” con el mismo encabezado. GIVE no apunta a un pago falso.</w:t>
            </w:r>
          </w:p>
        </w:tc>
      </w:tr>
      <w:tr>
        <w:tc>
          <w:tcPr>
            <w:tcW w:type="dxa" w:w="2948"/>
            <w:shd w:fill="F0F2F5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7. Boletín con consentimiento</w:t>
            </w:r>
          </w:p>
        </w:tc>
        <w:tc>
          <w:tcPr>
            <w:tcW w:type="dxa" w:w="2041"/>
            <w:shd w:fill="FFF8E1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C77800"/>
                <w:sz w:val="20"/>
              </w:rPr>
              <w:t>Parcial</w:t>
            </w:r>
          </w:p>
        </w:tc>
        <w:tc>
          <w:tcPr>
            <w:tcW w:type="dxa" w:w="4535"/>
            <w:shd w:fill="F0F2F5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Formulario nativo conectado y funcionando. El mensaje de bienvenida ya sale, pero con correo y texto de prueba. Ver sección 4.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8. Imágenes nítidas</w:t>
            </w:r>
          </w:p>
        </w:tc>
        <w:tc>
          <w:tcPr>
            <w:tcW w:type="dxa" w:w="2041"/>
            <w:shd w:fill="E8F5E9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B7A4E"/>
                <w:sz w:val="20"/>
              </w:rPr>
              <w:t>Listo</w:t>
            </w:r>
          </w:p>
        </w:tc>
        <w:tc>
          <w:tcPr>
            <w:tcW w:type="dxa" w:w="4535"/>
            <w:shd w:fill="FFFFFF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Archivos grandes, no recortes de 320 px. Alt text en fotos con significado. No se presentan imágenes generadas como participantes reales identificados.</w:t>
            </w:r>
          </w:p>
        </w:tc>
      </w:tr>
      <w:tr>
        <w:tc>
          <w:tcPr>
            <w:tcW w:type="dxa" w:w="2948"/>
            <w:shd w:fill="F0F2F5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9. Pie sin legales vacíos</w:t>
            </w:r>
          </w:p>
        </w:tc>
        <w:tc>
          <w:tcPr>
            <w:tcW w:type="dxa" w:w="2041"/>
            <w:shd w:fill="FFF8E1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C77800"/>
                <w:sz w:val="20"/>
              </w:rPr>
              <w:t>Parcial</w:t>
            </w:r>
          </w:p>
        </w:tc>
        <w:tc>
          <w:tcPr>
            <w:tcW w:type="dxa" w:w="4535"/>
            <w:shd w:fill="F0F2F5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Terms y Child Safeguarding no aparecen. Queda un enlace Privacy Policy en el pie; no hay página legal aprobada. Lo ocultamos en cuanto lo indique, o lo sustituimos cuando envíe el texto.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10. Lista para su revisión</w:t>
            </w:r>
          </w:p>
        </w:tc>
        <w:tc>
          <w:tcPr>
            <w:tcW w:type="dxa" w:w="2041"/>
            <w:shd w:fill="E8F5E9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B7A4E"/>
                <w:sz w:val="20"/>
              </w:rPr>
              <w:t>Listo</w:t>
            </w:r>
          </w:p>
        </w:tc>
        <w:tc>
          <w:tcPr>
            <w:tcW w:type="dxa" w:w="4535"/>
            <w:shd w:fill="FFFFFF" w:val="clear"/>
            <w:tcBorders>
              <w:top w:val="single" w:sz="4" w:color="D7DCE3" w:space="0"/>
              <w:left w:val="single" w:sz="4" w:color="D7DCE3" w:space="0"/>
              <w:bottom w:val="single" w:sz="4" w:color="D7DCE3" w:space="0"/>
              <w:right w:val="single" w:sz="4" w:color="D7DCE3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2B2D31"/>
                <w:sz w:val="20"/>
              </w:rPr>
              <w:t>Este documento y el enlace de GoHighLevel. No se publica al dominio público en este sprint.</w:t>
            </w:r>
          </w:p>
        </w:tc>
      </w:tr>
    </w:tbl>
    <w:p>
      <w:pPr>
        <w:spacing w:after="80"/>
      </w:pPr>
    </w:p>
    <w:p>
      <w:pPr>
        <w:spacing w:before="360" w:after="160"/>
        <w:pBdr>
          <w:bottom w:val="single" w:sz="12" w:space="4" w:color="1E88E5"/>
        </w:pBdr>
      </w:pPr>
      <w:r>
        <w:rPr>
          <w:rFonts w:ascii="Calibri" w:hAnsi="Calibri" w:eastAsia="Calibri"/>
          <w:b/>
          <w:i w:val="0"/>
          <w:color w:val="0A1E3D"/>
          <w:sz w:val="32"/>
        </w:rPr>
        <w:t>4. Lo que necesitamos de usted para cerrar el Sprint 1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El boletín ya funciona. Cuando alguien se suscribe recibe un mensaje de bienvenida. Lo que falta es que nos dé el correo remitente definitivo y el contenido que debe llevar ese mensaje. Si esta revisión se aprueba, también necesitamos el dominio donde se publicará el sitio.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E0" w:val="clear"/>
            <w:tcBorders>
              <w:top w:val="single" w:sz="12" w:color="F9A825" w:space="0"/>
              <w:left w:val="single" w:sz="12" w:color="F9A825" w:space="0"/>
              <w:bottom w:val="single" w:sz="12" w:color="F9A825" w:space="0"/>
              <w:right w:val="single" w:sz="12" w:color="F9A825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E65100"/>
                <w:sz w:val="24"/>
              </w:rPr>
              <w:t>Estado actual del boletín (prueba)</w:t>
            </w:r>
          </w:p>
          <w:p>
            <w:pPr>
              <w:spacing w:before="120"/>
            </w:pPr>
            <w:r>
              <w:rPr>
                <w:rFonts w:ascii="Calibri" w:hAnsi="Calibri" w:eastAsia="Calibri"/>
                <w:b/>
                <w:i w:val="0"/>
                <w:color w:val="0A1E3D"/>
                <w:sz w:val="22"/>
              </w:rPr>
              <w:t xml:space="preserve">Remitente de prueba:  </w:t>
            </w:r>
            <w:r>
              <w:rPr>
                <w:rFonts w:ascii="Calibri" w:hAnsi="Calibri" w:eastAsia="Calibri"/>
                <w:b w:val="0"/>
                <w:i w:val="0"/>
                <w:color w:val="2B2D31"/>
                <w:sz w:val="22"/>
              </w:rPr>
              <w:t>tech.support02@nsca.global</w:t>
            </w:r>
          </w:p>
          <w:p>
            <w:r>
              <w:rPr>
                <w:rFonts w:ascii="Calibri" w:hAnsi="Calibri" w:eastAsia="Calibri"/>
                <w:b w:val="0"/>
                <w:i/>
                <w:color w:val="7A7D85"/>
                <w:sz w:val="20"/>
              </w:rPr>
              <w:t>Este correo no debe quedar en producción. Es solo para comprobar que el envío llega.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rPr>
          <w:rFonts w:ascii="Calibri" w:hAnsi="Calibri" w:eastAsia="Calibri"/>
          <w:b/>
          <w:i w:val="0"/>
          <w:color w:val="0A1E3D"/>
          <w:sz w:val="24"/>
        </w:rPr>
        <w:t>Contenido de prueba que se está enviando hoy: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 w:val="clear"/>
            <w:tcBorders>
              <w:top w:val="single" w:sz="16" w:color="1E88E5" w:space="0"/>
              <w:left w:val="single" w:sz="16" w:color="1E88E5" w:space="0"/>
              <w:bottom w:val="single" w:sz="16" w:color="1E88E5" w:space="0"/>
              <w:right w:val="single" w:sz="16" w:color="1E88E5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Hi there,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Thank you for subscribing to the Jesus Generation newsletter! We are thrilled to have you as part of our community.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Our mission is to reach school-age children with the Gospel, make disciples, and equip leaders to multiply the mission. Through this newsletter, you’ll receive: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• Inspiring Stories: Updates on how God is working in the next generation.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• Ministry News &amp; Events: Opportunities to get involved and join our mission trips or prayer initiatives.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• Impact Updates: Seeing firsthand how your support and prayers are transforming lives.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If you ever have any questions, prayer requests, or would like to learn more about getting involved, feel free to reply directly to this email.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Thank you for standing with us to reach the next generation for Jesus!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Blessings,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The Jesus Generation Team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Reach. Equip. Multiply.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i/>
                <w:color w:val="2B2D31"/>
                <w:sz w:val="20"/>
              </w:rPr>
              <w:t>www.jesusgeneration.org</w:t>
            </w:r>
          </w:p>
        </w:tc>
      </w:tr>
    </w:tbl>
    <w:p>
      <w:pPr>
        <w:spacing w:after="160"/>
      </w:pP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Puede aprobar este texto tal cual, o enviarnos la versión final. Hasta que no tengamos remitente y contenido aprobados, el boletín seguirá saliendo con la prueba de arriba.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0A1E3D"/>
          <w:sz w:val="26"/>
        </w:rPr>
        <w:t>Complete y devuelva esto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A1E3D"/>
          <w:sz w:val="22"/>
        </w:rPr>
        <w:t>1. Correo remitente del mensaje de bienvenida:</w:t>
      </w:r>
      <w:r>
        <w:rPr>
          <w:rFonts w:ascii="Calibri" w:hAnsi="Calibri" w:eastAsia="Calibri"/>
          <w:b w:val="0"/>
          <w:i w:val="0"/>
          <w:color w:val="7A7D85"/>
          <w:sz w:val="22"/>
        </w:rPr>
        <w:t xml:space="preserve">  ________________________________________________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/>
          <w:color w:val="7A7D85"/>
          <w:sz w:val="20"/>
        </w:rPr>
        <w:t>Ejemplo de formato: hello@jesusgeneration.org  o  newsletter@dominio-aprobado. Debe ser una cuenta que ustedes controlen. Preferimos un buzón del ministerio, no una cuenta personal ni la de prueba NSCA.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0A1E3D"/>
          <w:sz w:val="22"/>
        </w:rPr>
        <w:t>2. Contenido del mensaje de bienvenida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[ ]  Aprobamos el texto de prueba de arriba, sin cambios.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[ ]  Usen este texto en su lugar (péguelo debajo o adjúntelo):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Nombre que debe verse como remitente (From name):  ______________________________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Asunto del correo:  ____________________________________________________________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0A1E3D"/>
          <w:sz w:val="24"/>
        </w:rPr>
        <w:t>3. Dominio, si esta revisión queda aprobada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El Sprint 1 no publica al dominio final. Si aprueban la Home, necesitamos el dominio canónico para preparar URLs, correo del boletín y, más adelante, analítica. Hoy el texto de prueba menciona www.jesusgeneration.org; confirmamos si ese es el dominio o si usarán otro.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A1E3D"/>
          <w:sz w:val="22"/>
        </w:rPr>
        <w:t>Dominio final:</w:t>
      </w:r>
      <w:r>
        <w:rPr>
          <w:rFonts w:ascii="Calibri" w:hAnsi="Calibri" w:eastAsia="Calibri"/>
          <w:b w:val="0"/>
          <w:i w:val="0"/>
          <w:color w:val="7A7D85"/>
          <w:sz w:val="22"/>
        </w:rPr>
        <w:t xml:space="preserve">  ________________________________________________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[ ]  jesusgeneration.org     [ ]  Otro: ________________________________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¿El correo del boletín debe usar ese mismo dominio?     sí / no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0A1E3D"/>
          <w:sz w:val="24"/>
        </w:rPr>
        <w:t>4. Cifras (si Erika ya tiene el informe)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En la Home se leen 20+ nations y 41,000 schools in the ministry network. Si el informe trimestral trae cifras distintas, las sustituimos el mismo día en que lleguen. No redondeamos.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Naciones: ____________________    Escuelas: ____________________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Capellanes / trabajadores (si debe verse): ____________________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Fecha del informe: ____________________</w:t>
      </w:r>
    </w:p>
    <w:p>
      <w:pPr>
        <w:spacing w:before="360" w:after="160"/>
        <w:pBdr>
          <w:bottom w:val="single" w:sz="12" w:space="4" w:color="1E88E5"/>
        </w:pBdr>
      </w:pPr>
      <w:r>
        <w:rPr>
          <w:rFonts w:ascii="Calibri" w:hAnsi="Calibri" w:eastAsia="Calibri"/>
          <w:b/>
          <w:i w:val="0"/>
          <w:color w:val="0A1E3D"/>
          <w:sz w:val="32"/>
        </w:rPr>
        <w:t>5. Qué no entra en este sprint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2B2D31"/>
          <w:sz w:val="22"/>
        </w:rPr>
        <w:t>About, Contact, Get Involved y Give como páginas completas (Sprint 2, 3 y 4).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2B2D31"/>
          <w:sz w:val="22"/>
        </w:rPr>
        <w:t>Know Jesus, Stories, Privacy, Terms y Child Safeguarding con texto final.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2B2D31"/>
          <w:sz w:val="22"/>
        </w:rPr>
        <w:t>URL del procesador de donaciones. Hasta entonces, GIVE lleva a “en construcción”.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2B2D31"/>
          <w:sz w:val="22"/>
        </w:rPr>
        <w:t>Español. Se construye cuando el inglés esté aprobado.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2B2D31"/>
          <w:sz w:val="22"/>
        </w:rPr>
        <w:t>Analítica, imagen para redes y redirecciones de URLs antiguas de Mission Generation.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2B2D31"/>
          <w:sz w:val="22"/>
        </w:rPr>
        <w:t>Publicación en el dominio final.</w:t>
      </w:r>
    </w:p>
    <w:p>
      <w:pPr>
        <w:spacing w:before="360" w:after="160"/>
        <w:pBdr>
          <w:bottom w:val="single" w:sz="12" w:space="4" w:color="1E88E5"/>
        </w:pBdr>
      </w:pPr>
      <w:r>
        <w:rPr>
          <w:rFonts w:ascii="Calibri" w:hAnsi="Calibri" w:eastAsia="Calibri"/>
          <w:b/>
          <w:i w:val="0"/>
          <w:color w:val="0A1E3D"/>
          <w:sz w:val="32"/>
        </w:rPr>
        <w:t>6. Aprobación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Marque una opción y, si hay cambios, escríbalos con el dispositivo en el que los vio.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[ ]  Apruebo la Home en inglés. Pueden sustituir el correo y el texto de prueba del boletín con lo indicado en la sección 4 y, si el dominio está confirmado, prepararlo para el siguiente paso.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[ ]  Apruebo con cambios. Los anoto aquí: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[ ]  No apruebo todavía. Lo que debe revisarse otra vez: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7A7D85"/>
          <w:sz w:val="22"/>
        </w:rPr>
        <w:t>____________________________________________________________________________________________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Nombre: ________________________________     Fecha: ____________________</w:t>
      </w:r>
    </w:p>
    <w:p>
      <w:pPr>
        <w:spacing w:after="320" w:before="0" w:line="276" w:lineRule="auto"/>
      </w:pPr>
      <w:r>
        <w:rPr>
          <w:rFonts w:ascii="Calibri" w:hAnsi="Calibri" w:eastAsia="Calibri"/>
          <w:b w:val="0"/>
          <w:i w:val="0"/>
          <w:color w:val="2B2D31"/>
          <w:sz w:val="22"/>
        </w:rPr>
        <w:t>Cargo / ministerio: 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A1E3D" w:val="clear"/>
            <w:tcBorders>
              <w:top w:val="nil" w:sz="0" w:color="0A1E3D" w:space="0"/>
              <w:left w:val="nil" w:sz="0" w:color="0A1E3D" w:space="0"/>
              <w:bottom w:val="nil" w:sz="0" w:color="0A1E3D" w:space="0"/>
              <w:right w:val="nil" w:sz="0" w:color="0A1E3D" w:space="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0CAF9"/>
                <w:sz w:val="18"/>
              </w:rPr>
              <w:t>Enlace de revisión</w:t>
            </w:r>
          </w:p>
          <w:p>
            <w:pPr>
              <w:jc w:val="center"/>
            </w:pPr>
            <w:hyperlink r:id="rId10">
              <w:r>
                <w:rPr>
                  <w:rFonts w:ascii="Calibri" w:hAnsi="Calibri"/>
                  <w:sz w:val="24"/>
                  <w:szCs w:val="24"/>
                  <w:color w:val="FFFFFF"/>
                  <w:u w:val="single"/>
                  <w:b/>
                </w:rPr>
                <w:t xml:space="preserve">https://link.followdrip.com/preview/4er05JsHFOuPtUACePQV</w:t>
              </w:r>
            </w:hyperlink>
          </w:p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 w:val="0"/>
                <w:i/>
                <w:color w:val="FFFFFF"/>
                <w:sz w:val="22"/>
              </w:rPr>
              <w:t>Reach. Equip. Multiply.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7A7D85"/>
        <w:sz w:val="16"/>
      </w:rPr>
      <w:t>Jesus Generation  ·  Informe de revisión Sprint 1  ·  Home en inglés  ·  5 de octubre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D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ink.followdrip.com/preview/4er05JsHFOuPtUACePQ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