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15e5c6ae-144c-4e8f-8fbc-a78192b7ec95.png"/>
                    <pic:cNvPicPr/>
                  </pic:nvPicPr>
                  <pic:blipFill>
                    <a:blip r:embed="rId11"/>
                    <a:stretch>
                      <a:fillRect/>
                    </a:stretch>
                  </pic:blipFill>
                  <pic:spPr>
                    <a:xfrm>
                      <a:off x="0" y="0"/>
                      <a:ext cx="1234440" cy="1234440"/>
                    </a:xfrm>
                    <a:prstGeom prst="rect"/>
                  </pic:spPr>
                </pic:pic>
              </a:graphicData>
            </a:graphic>
          </wp:inline>
        </w:drawing>
      </w:r>
    </w:p>
    <w:p>
      <w:pPr>
        <w:pStyle w:val="Title"/>
        <w:jc w:val="center"/>
      </w:pPr>
      <w:r>
        <w:t>GLOBAL COMPONENTS</w:t>
      </w:r>
    </w:p>
    <w:p>
      <w:pPr>
        <w:jc w:val="center"/>
      </w:pPr>
      <w:r>
        <w:rPr>
          <w:b/>
          <w:color w:val="0D47A1"/>
          <w:sz w:val="26"/>
        </w:rPr>
        <w:t>HEADER, NAVIGATION, BUTTONS, FOOTER &amp; LANGUAGE</w:t>
      </w:r>
    </w:p>
    <w:p>
      <w:pPr>
        <w:jc w:val="center"/>
      </w:pPr>
      <w:r>
        <w:rPr>
          <w:color w:val="7A7D85"/>
          <w:sz w:val="21"/>
        </w:rPr>
        <w:t>Prepared for GoHighLevel website construction</w:t>
      </w:r>
    </w:p>
    <w:tbl>
      <w:tblPr>
        <w:tblW w:type="auto" w:w="0"/>
        <w:jc w:val="center"/>
        <w:tblLayout w:type="fixed"/>
        <w:tblLook w:firstColumn="1" w:firstRow="1" w:lastColumn="0" w:lastRow="0" w:noHBand="0" w:noVBand="1" w:val="04A0"/>
      </w:tblPr>
      <w:tblGrid>
        <w:gridCol w:w="3427"/>
        <w:gridCol w:w="3427"/>
        <w:gridCol w:w="3427"/>
      </w:tblGrid>
      <w:tr>
        <w:tc>
          <w:tcPr>
            <w:tcW w:type="dxa" w:w="4608"/>
            <w:shd w:fill="0A1E3D"/>
            <w:tcMar>
              <w:top w:w="80" w:type="dxa"/>
              <w:start w:w="80" w:type="dxa"/>
              <w:bottom w:w="80" w:type="dxa"/>
              <w:end w:w="80" w:type="dxa"/>
            </w:tcMar>
          </w:tcPr>
          <w:p>
            <w:pPr>
              <w:jc w:val="center"/>
            </w:pPr>
            <w:r>
              <w:rPr>
                <w:b/>
                <w:color w:val="FFFFFF"/>
                <w:sz w:val="19"/>
              </w:rPr>
              <w:t>REACH. EQUIP. MULTIPLY.</w:t>
            </w:r>
          </w:p>
        </w:tc>
        <w:tc>
          <w:tcPr>
            <w:tcW w:type="dxa" w:w="3168"/>
            <w:shd w:fill="0D47A1"/>
            <w:tcMar>
              <w:top w:w="80" w:type="dxa"/>
              <w:start w:w="80" w:type="dxa"/>
              <w:bottom w:w="80" w:type="dxa"/>
              <w:end w:w="80" w:type="dxa"/>
            </w:tcMar>
          </w:tcPr>
          <w:p>
            <w:pPr>
              <w:jc w:val="center"/>
            </w:pPr>
            <w:r>
              <w:rPr>
                <w:b/>
                <w:color w:val="FFFFFF"/>
                <w:sz w:val="19"/>
              </w:rPr>
              <w:t>GET INVOLVED</w:t>
            </w:r>
          </w:p>
        </w:tc>
        <w:tc>
          <w:tcPr>
            <w:tcW w:type="dxa" w:w="3168"/>
            <w:shd w:fill="E53935"/>
            <w:tcMar>
              <w:top w:w="80" w:type="dxa"/>
              <w:start w:w="80" w:type="dxa"/>
              <w:bottom w:w="80" w:type="dxa"/>
              <w:end w:w="80" w:type="dxa"/>
            </w:tcMar>
          </w:tcPr>
          <w:p>
            <w:pPr>
              <w:jc w:val="center"/>
            </w:pPr>
            <w:r>
              <w:rPr>
                <w:b/>
                <w:color w:val="FFFFFF"/>
                <w:sz w:val="19"/>
              </w:rPr>
              <w:t>GIVE</w:t>
            </w:r>
          </w:p>
        </w:tc>
      </w:tr>
    </w:tbl>
    <w:p/>
    <w:p>
      <w:pPr>
        <w:pStyle w:val="Heading1"/>
      </w:pPr>
      <w:r>
        <w:t>Header</w:t>
      </w:r>
    </w:p>
    <w:p>
      <w:pPr>
        <w:pStyle w:val="ListBullet"/>
      </w:pPr>
      <w:r>
        <w:t>Official logo at upper left.</w:t>
      </w:r>
    </w:p>
    <w:p>
      <w:pPr>
        <w:pStyle w:val="ListBullet"/>
      </w:pPr>
      <w:r>
        <w:t>Primary menu: Home, About, Academy, Contact.</w:t>
      </w:r>
    </w:p>
    <w:p>
      <w:pPr>
        <w:pStyle w:val="ListBullet"/>
      </w:pPr>
      <w:r>
        <w:t>GET INVOLVED remains visually prominent but separate from standard text navigation.</w:t>
      </w:r>
    </w:p>
    <w:p>
      <w:pPr>
        <w:pStyle w:val="ListBullet"/>
      </w:pPr>
      <w:r>
        <w:t>GIVE is always red.</w:t>
      </w:r>
    </w:p>
    <w:p>
      <w:pPr>
        <w:pStyle w:val="ListBullet"/>
      </w:pPr>
      <w:r>
        <w:t>Language selector EN | ES appears globally.</w:t>
      </w:r>
    </w:p>
    <w:p>
      <w:pPr>
        <w:pStyle w:val="Heading1"/>
      </w:pPr>
      <w:r>
        <w:t>Buttons</w:t>
      </w:r>
    </w:p>
    <w:tbl>
      <w:tblPr>
        <w:tblStyle w:val="TableGrid"/>
        <w:tblW w:type="auto" w:w="0"/>
        <w:jc w:val="center"/>
        <w:tblLayout w:type="fixed"/>
        <w:tblLook w:firstColumn="1" w:firstRow="1" w:lastColumn="0" w:lastRow="0" w:noHBand="0" w:noVBand="1" w:val="04A0"/>
      </w:tblPr>
      <w:tblGrid>
        <w:gridCol w:w="5141"/>
        <w:gridCol w:w="5141"/>
      </w:tblGrid>
      <w:tr>
        <w:tc>
          <w:tcPr>
            <w:tcW w:type="dxa" w:w="2520"/>
            <w:vAlign w:val="top"/>
            <w:shd w:fill="F0F2F5"/>
            <w:tcMar>
              <w:top w:w="100" w:type="dxa"/>
              <w:start w:w="100" w:type="dxa"/>
              <w:bottom w:w="100" w:type="dxa"/>
              <w:end w:w="100" w:type="dxa"/>
            </w:tcMar>
          </w:tcPr>
          <w:p>
            <w:r>
              <w:rPr>
                <w:b/>
                <w:color w:val="0A1E3D"/>
                <w:sz w:val="18"/>
              </w:rPr>
              <w:t>GET INVOLVED</w:t>
            </w:r>
          </w:p>
        </w:tc>
        <w:tc>
          <w:tcPr>
            <w:tcW w:type="dxa" w:w="8208"/>
            <w:vAlign w:val="top"/>
            <w:tcMar>
              <w:top w:w="100" w:type="dxa"/>
              <w:start w:w="100" w:type="dxa"/>
              <w:bottom w:w="100" w:type="dxa"/>
              <w:end w:w="100" w:type="dxa"/>
            </w:tcMar>
          </w:tcPr>
          <w:p>
            <w:r>
              <w:rPr>
                <w:sz w:val="18"/>
              </w:rPr>
              <w:t>Royal blue/navy or white-with-blue treatment based on background contrast. Never red.</w:t>
            </w:r>
          </w:p>
        </w:tc>
      </w:tr>
      <w:tr>
        <w:tc>
          <w:tcPr>
            <w:tcW w:type="dxa" w:w="2520"/>
            <w:vAlign w:val="top"/>
            <w:shd w:fill="F0F2F5"/>
            <w:tcMar>
              <w:top w:w="100" w:type="dxa"/>
              <w:start w:w="100" w:type="dxa"/>
              <w:bottom w:w="100" w:type="dxa"/>
              <w:end w:w="100" w:type="dxa"/>
            </w:tcMar>
          </w:tcPr>
          <w:p>
            <w:r>
              <w:rPr>
                <w:b/>
                <w:color w:val="0A1E3D"/>
                <w:sz w:val="18"/>
              </w:rPr>
              <w:t>GIVE</w:t>
            </w:r>
          </w:p>
        </w:tc>
        <w:tc>
          <w:tcPr>
            <w:tcW w:type="dxa" w:w="8208"/>
            <w:vAlign w:val="top"/>
            <w:tcMar>
              <w:top w:w="100" w:type="dxa"/>
              <w:start w:w="100" w:type="dxa"/>
              <w:bottom w:w="100" w:type="dxa"/>
              <w:end w:w="100" w:type="dxa"/>
            </w:tcMar>
          </w:tcPr>
          <w:p>
            <w:r>
              <w:rPr>
                <w:sz w:val="18"/>
              </w:rPr>
              <w:t>Always Action Red #E53935.</w:t>
            </w:r>
          </w:p>
        </w:tc>
      </w:tr>
      <w:tr>
        <w:tc>
          <w:tcPr>
            <w:tcW w:type="dxa" w:w="2520"/>
            <w:vAlign w:val="top"/>
            <w:shd w:fill="F0F2F5"/>
            <w:tcMar>
              <w:top w:w="100" w:type="dxa"/>
              <w:start w:w="100" w:type="dxa"/>
              <w:bottom w:w="100" w:type="dxa"/>
              <w:end w:w="100" w:type="dxa"/>
            </w:tcMar>
          </w:tcPr>
          <w:p>
            <w:r>
              <w:rPr>
                <w:b/>
                <w:color w:val="0A1E3D"/>
                <w:sz w:val="18"/>
              </w:rPr>
              <w:t>Secondary CTA</w:t>
            </w:r>
          </w:p>
        </w:tc>
        <w:tc>
          <w:tcPr>
            <w:tcW w:type="dxa" w:w="8208"/>
            <w:vAlign w:val="top"/>
            <w:tcMar>
              <w:top w:w="100" w:type="dxa"/>
              <w:start w:w="100" w:type="dxa"/>
              <w:bottom w:w="100" w:type="dxa"/>
              <w:end w:w="100" w:type="dxa"/>
            </w:tcMar>
          </w:tcPr>
          <w:p>
            <w:r>
              <w:rPr>
                <w:sz w:val="18"/>
              </w:rPr>
              <w:t>Royal Blue #0D47A1 or outlined blue.</w:t>
            </w:r>
          </w:p>
        </w:tc>
      </w:tr>
      <w:tr>
        <w:tc>
          <w:tcPr>
            <w:tcW w:type="dxa" w:w="2520"/>
            <w:vAlign w:val="top"/>
            <w:shd w:fill="F0F2F5"/>
            <w:tcMar>
              <w:top w:w="100" w:type="dxa"/>
              <w:start w:w="100" w:type="dxa"/>
              <w:bottom w:w="100" w:type="dxa"/>
              <w:end w:w="100" w:type="dxa"/>
            </w:tcMar>
          </w:tcPr>
          <w:p>
            <w:r>
              <w:rPr>
                <w:b/>
                <w:color w:val="0A1E3D"/>
                <w:sz w:val="18"/>
              </w:rPr>
              <w:t>Text links</w:t>
            </w:r>
          </w:p>
        </w:tc>
        <w:tc>
          <w:tcPr>
            <w:tcW w:type="dxa" w:w="8208"/>
            <w:vAlign w:val="top"/>
            <w:tcMar>
              <w:top w:w="100" w:type="dxa"/>
              <w:start w:w="100" w:type="dxa"/>
              <w:bottom w:w="100" w:type="dxa"/>
              <w:end w:w="100" w:type="dxa"/>
            </w:tcMar>
          </w:tcPr>
          <w:p>
            <w:r>
              <w:rPr>
                <w:sz w:val="18"/>
              </w:rPr>
              <w:t>Royal/Sky Blue with clear hover/focus treatment.</w:t>
            </w:r>
          </w:p>
        </w:tc>
      </w:tr>
    </w:tbl>
    <w:p/>
    <w:p>
      <w:pPr>
        <w:pStyle w:val="Heading1"/>
      </w:pPr>
      <w:r>
        <w:t>Footer</w:t>
      </w:r>
    </w:p>
    <w:p>
      <w:pPr>
        <w:pStyle w:val="ListBullet"/>
      </w:pPr>
      <w:r>
        <w:t>Repeat the official Jesus Generation logo and short mission statement.</w:t>
      </w:r>
    </w:p>
    <w:p>
      <w:pPr>
        <w:pStyle w:val="ListBullet"/>
      </w:pPr>
      <w:r>
        <w:t>Quick links: Home, About, Academy, Contact.</w:t>
      </w:r>
    </w:p>
    <w:p>
      <w:pPr>
        <w:pStyle w:val="ListBullet"/>
      </w:pPr>
      <w:r>
        <w:t>Get Involved links: Mission Trips, Serve, Partnerships, Prayer.</w:t>
      </w:r>
    </w:p>
    <w:p>
      <w:pPr>
        <w:pStyle w:val="ListBullet"/>
      </w:pPr>
      <w:r>
        <w:t>Give links: Give Now, Monthly, Equip a Leader, Other Ways to Give.</w:t>
      </w:r>
    </w:p>
    <w:p>
      <w:pPr>
        <w:pStyle w:val="ListBullet"/>
      </w:pPr>
      <w:r>
        <w:t>Connect: Contact, Prayer Request, Media &amp; Speaking.</w:t>
      </w:r>
    </w:p>
    <w:p>
      <w:pPr>
        <w:pStyle w:val="ListBullet"/>
      </w:pPr>
      <w:r>
        <w:t>Secondary: Know Jesus, Stories, Privacy, Terms, Child Safeguarding once approved.</w:t>
      </w:r>
    </w:p>
    <w:p>
      <w:pPr>
        <w:pStyle w:val="ListBullet"/>
      </w:pPr>
      <w:r>
        <w:t>Newsletter signup must use separate affirmative consent.</w:t>
      </w:r>
    </w:p>
    <w:p>
      <w:pPr>
        <w:pStyle w:val="Heading1"/>
      </w:pPr>
      <w:r>
        <w:t>Language</w:t>
      </w:r>
    </w:p>
    <w:p>
      <w:r>
        <w:t>The global selector displays EN | ES. Academy content is specifically intended for English and Spanish. Build the site so Spanish pages can mirror the English information architecture without changing navigation logic. The technical localization method may be selected by the webmaster, but URLs, analytics, forms, and SEO should clearly distinguish languages.</w:t>
      </w:r>
    </w:p>
    <w:p>
      <w:pPr>
        <w:pStyle w:val="Heading1"/>
      </w:pPr>
      <w:r>
        <w:t>Global CTA Phrase</w:t>
      </w:r>
    </w:p>
    <w:p>
      <w:r>
        <w:t>Use the public-facing phrase “Reach. Equip. Multiply.” where a short three-part ministry expression is needed. The longer internal ministry sequence may appear in explanatory copy, but should not replace the simpler CTA-oriented phrase.</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D85"/>
        <w:sz w:val="15"/>
      </w:rPr>
      <w:t>Webmaster Build Package  |  Source: Master Website Content Draft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A7D85"/>
        <w:sz w:val="16"/>
      </w:rPr>
      <w:t>JESUS GENERATION | GLOBAL COMPONENTS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B2D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A1E3D"/>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D47A1"/>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A1E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200"/>
      <w:contextualSpacing/>
    </w:pPr>
    <w:rPr>
      <w:rFonts w:asciiTheme="majorHAnsi" w:eastAsiaTheme="majorEastAsia" w:hAnsiTheme="majorHAnsi" w:cstheme="majorBidi" w:ascii="Arial" w:hAnsi="Arial"/>
      <w:b/>
      <w:color w:val="0A1E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