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15e5c6ae-144c-4e8f-8fbc-a78192b7ec95.pn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HOME</w:t>
      </w:r>
    </w:p>
    <w:p>
      <w:pPr>
        <w:jc w:val="center"/>
      </w:pPr>
      <w:r>
        <w:rPr>
          <w:b/>
          <w:color w:val="0D47A1"/>
          <w:sz w:val="26"/>
        </w:rPr>
        <w:t>PAGE BUILD SHEET</w:t>
      </w:r>
    </w:p>
    <w:p>
      <w:pPr>
        <w:jc w:val="center"/>
      </w:pPr>
      <w:r>
        <w:rPr>
          <w:color w:val="7A7D85"/>
          <w:sz w:val="21"/>
        </w:rPr>
        <w:t>Prepared for GoHighLevel website construction</w:t>
      </w:r>
    </w:p>
    <w:tbl>
      <w:tblPr>
        <w:tblW w:type="auto" w:w="0"/>
        <w:jc w:val="center"/>
        <w:tblLayout w:type="fixed"/>
        <w:tblLook w:firstColumn="1" w:firstRow="1" w:lastColumn="0" w:lastRow="0" w:noHBand="0" w:noVBand="1" w:val="04A0"/>
      </w:tblPr>
      <w:tblGrid>
        <w:gridCol w:w="3427"/>
        <w:gridCol w:w="3427"/>
        <w:gridCol w:w="3427"/>
      </w:tblGrid>
      <w:tr>
        <w:tc>
          <w:tcPr>
            <w:tcW w:type="dxa" w:w="4608"/>
            <w:shd w:fill="0A1E3D"/>
            <w:tcMar>
              <w:top w:w="80" w:type="dxa"/>
              <w:start w:w="80" w:type="dxa"/>
              <w:bottom w:w="80" w:type="dxa"/>
              <w:end w:w="80" w:type="dxa"/>
            </w:tcMar>
          </w:tcPr>
          <w:p>
            <w:pPr>
              <w:jc w:val="center"/>
            </w:pPr>
            <w:r>
              <w:rPr>
                <w:b/>
                <w:color w:val="FFFFFF"/>
                <w:sz w:val="19"/>
              </w:rPr>
              <w:t>REACH. EQUIP. MULTIPLY.</w:t>
            </w:r>
          </w:p>
        </w:tc>
        <w:tc>
          <w:tcPr>
            <w:tcW w:type="dxa" w:w="3168"/>
            <w:shd w:fill="0D47A1"/>
            <w:tcMar>
              <w:top w:w="80" w:type="dxa"/>
              <w:start w:w="80" w:type="dxa"/>
              <w:bottom w:w="80" w:type="dxa"/>
              <w:end w:w="80" w:type="dxa"/>
            </w:tcMar>
          </w:tcPr>
          <w:p>
            <w:pPr>
              <w:jc w:val="center"/>
            </w:pPr>
            <w:r>
              <w:rPr>
                <w:b/>
                <w:color w:val="FFFFFF"/>
                <w:sz w:val="19"/>
              </w:rPr>
              <w:t>GET INVOLVED</w:t>
            </w:r>
          </w:p>
        </w:tc>
        <w:tc>
          <w:tcPr>
            <w:tcW w:type="dxa" w:w="3168"/>
            <w:shd w:fill="E53935"/>
            <w:tcMar>
              <w:top w:w="80" w:type="dxa"/>
              <w:start w:w="80" w:type="dxa"/>
              <w:bottom w:w="80" w:type="dxa"/>
              <w:end w:w="80" w:type="dxa"/>
            </w:tcMar>
          </w:tcPr>
          <w:p>
            <w:pPr>
              <w:jc w:val="center"/>
            </w:pPr>
            <w:r>
              <w:rPr>
                <w:b/>
                <w:color w:val="FFFFFF"/>
                <w:sz w:val="19"/>
              </w:rPr>
              <w:t>GIVE</w:t>
            </w:r>
          </w:p>
        </w:tc>
      </w:tr>
    </w:tbl>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URL</w:t>
            </w:r>
          </w:p>
        </w:tc>
        <w:tc>
          <w:tcPr>
            <w:tcW w:type="dxa" w:w="8208"/>
            <w:vAlign w:val="top"/>
            <w:tcMar>
              <w:top w:w="100" w:type="dxa"/>
              <w:start w:w="100" w:type="dxa"/>
              <w:bottom w:w="100" w:type="dxa"/>
              <w:end w:w="100" w:type="dxa"/>
            </w:tcMar>
          </w:tcPr>
          <w:p>
            <w:r>
              <w:rPr>
                <w:sz w:val="18"/>
              </w:rPr>
              <w:t>/</w:t>
            </w:r>
          </w:p>
        </w:tc>
      </w:tr>
      <w:tr>
        <w:tc>
          <w:tcPr>
            <w:tcW w:type="dxa" w:w="2520"/>
            <w:vAlign w:val="top"/>
            <w:shd w:fill="F0F2F5"/>
            <w:tcMar>
              <w:top w:w="100" w:type="dxa"/>
              <w:start w:w="100" w:type="dxa"/>
              <w:bottom w:w="100" w:type="dxa"/>
              <w:end w:w="100" w:type="dxa"/>
            </w:tcMar>
          </w:tcPr>
          <w:p>
            <w:r>
              <w:rPr>
                <w:b/>
                <w:color w:val="0A1E3D"/>
                <w:sz w:val="18"/>
              </w:rPr>
              <w:t>Navigation state</w:t>
            </w:r>
          </w:p>
        </w:tc>
        <w:tc>
          <w:tcPr>
            <w:tcW w:type="dxa" w:w="8208"/>
            <w:vAlign w:val="top"/>
            <w:tcMar>
              <w:top w:w="100" w:type="dxa"/>
              <w:start w:w="100" w:type="dxa"/>
              <w:bottom w:w="100" w:type="dxa"/>
              <w:end w:w="100" w:type="dxa"/>
            </w:tcMar>
          </w:tcPr>
          <w:p>
            <w:r>
              <w:rPr>
                <w:sz w:val="18"/>
              </w:rPr>
              <w:t>HOME active. Home dropdown may show on reference captures.</w:t>
            </w:r>
          </w:p>
        </w:tc>
      </w:tr>
      <w:tr>
        <w:tc>
          <w:tcPr>
            <w:tcW w:type="dxa" w:w="2520"/>
            <w:vAlign w:val="top"/>
            <w:shd w:fill="F0F2F5"/>
            <w:tcMar>
              <w:top w:w="100" w:type="dxa"/>
              <w:start w:w="100" w:type="dxa"/>
              <w:bottom w:w="100" w:type="dxa"/>
              <w:end w:w="100" w:type="dxa"/>
            </w:tcMar>
          </w:tcPr>
          <w:p>
            <w:r>
              <w:rPr>
                <w:b/>
                <w:color w:val="0A1E3D"/>
                <w:sz w:val="18"/>
              </w:rPr>
              <w:t>Visual reference</w:t>
            </w:r>
          </w:p>
        </w:tc>
        <w:tc>
          <w:tcPr>
            <w:tcW w:type="dxa" w:w="8208"/>
            <w:vAlign w:val="top"/>
            <w:tcMar>
              <w:top w:w="100" w:type="dxa"/>
              <w:start w:w="100" w:type="dxa"/>
              <w:bottom w:w="100" w:type="dxa"/>
              <w:end w:w="100" w:type="dxa"/>
            </w:tcMar>
          </w:tcPr>
          <w:p>
            <w:r>
              <w:rPr>
                <w:sz w:val="18"/>
              </w:rPr>
              <w:t>15_VISUAL_REFERENCES/HOME_01_Top_Reference.png; HOME_02_Middle_Reference.png; HOME_03_Bottom_Reference.png</w:t>
            </w:r>
          </w:p>
        </w:tc>
      </w:tr>
      <w:tr>
        <w:tc>
          <w:tcPr>
            <w:tcW w:type="dxa" w:w="2520"/>
            <w:vAlign w:val="top"/>
            <w:shd w:fill="F0F2F5"/>
            <w:tcMar>
              <w:top w:w="100" w:type="dxa"/>
              <w:start w:w="100" w:type="dxa"/>
              <w:bottom w:w="100" w:type="dxa"/>
              <w:end w:w="100" w:type="dxa"/>
            </w:tcMar>
          </w:tcPr>
          <w:p>
            <w:r>
              <w:rPr>
                <w:b/>
                <w:color w:val="0A1E3D"/>
                <w:sz w:val="18"/>
              </w:rPr>
              <w:t>Primary art assets</w:t>
            </w:r>
          </w:p>
        </w:tc>
        <w:tc>
          <w:tcPr>
            <w:tcW w:type="dxa" w:w="8208"/>
            <w:vAlign w:val="top"/>
            <w:tcMar>
              <w:top w:w="100" w:type="dxa"/>
              <w:start w:w="100" w:type="dxa"/>
              <w:bottom w:w="100" w:type="dxa"/>
              <w:end w:w="100" w:type="dxa"/>
            </w:tcMar>
          </w:tcPr>
          <w:p>
            <w:r>
              <w:rPr>
                <w:sz w:val="18"/>
              </w:rPr>
              <w:t>14_ART_ASSETS/Current_Home_About_Academy/Home + Shared_ClipArt</w:t>
            </w:r>
          </w:p>
        </w:tc>
      </w:tr>
      <w:tr>
        <w:tc>
          <w:tcPr>
            <w:tcW w:type="dxa" w:w="2520"/>
            <w:vAlign w:val="top"/>
            <w:shd w:fill="F0F2F5"/>
            <w:tcMar>
              <w:top w:w="100" w:type="dxa"/>
              <w:start w:w="100" w:type="dxa"/>
              <w:bottom w:w="100" w:type="dxa"/>
              <w:end w:w="100" w:type="dxa"/>
            </w:tcMar>
          </w:tcPr>
          <w:p>
            <w:r>
              <w:rPr>
                <w:b/>
                <w:color w:val="0A1E3D"/>
                <w:sz w:val="18"/>
              </w:rPr>
              <w:t>Build status</w:t>
            </w:r>
          </w:p>
        </w:tc>
        <w:tc>
          <w:tcPr>
            <w:tcW w:type="dxa" w:w="8208"/>
            <w:vAlign w:val="top"/>
            <w:tcMar>
              <w:top w:w="100" w:type="dxa"/>
              <w:start w:w="100" w:type="dxa"/>
              <w:bottom w:w="100" w:type="dxa"/>
              <w:end w:w="100" w:type="dxa"/>
            </w:tcMar>
          </w:tcPr>
          <w:p>
            <w:r>
              <w:rPr>
                <w:sz w:val="18"/>
              </w:rPr>
              <w:t>Use source copy and specifications below. Do not improvise missing content.</w:t>
            </w:r>
          </w:p>
        </w:tc>
      </w:tr>
    </w:tbl>
    <w:p/>
    <w:p>
      <w:pPr>
        <w:pStyle w:val="Heading1"/>
      </w:pPr>
      <w:r>
        <w:t>Page-Specific Build Rules</w:t>
      </w:r>
    </w:p>
    <w:p>
      <w:pPr>
        <w:pStyle w:val="ListBullet"/>
      </w:pPr>
      <w:r>
        <w:t>Home is the only page that should carry the full at-a-glance scale treatment prominently. Do not duplicate the same statistic band throughout interior pages.</w:t>
      </w:r>
    </w:p>
    <w:p>
      <w:pPr>
        <w:pStyle w:val="ListBullet"/>
      </w:pPr>
      <w:r>
        <w:t>Use the current global phrase Reach. Equip. Multiply. in short branding/CTA positions.</w:t>
      </w:r>
    </w:p>
    <w:p>
      <w:pPr>
        <w:pStyle w:val="ListBullet"/>
      </w:pPr>
      <w:r>
        <w:t>Bottom Global Impact should emphasize geography, country stories, and evidence rather than repeating the same statistics already shown above.</w:t>
      </w:r>
    </w:p>
    <w:p>
      <w:pPr>
        <w:pStyle w:val="Heading1"/>
      </w:pPr>
      <w:r>
        <w:t>CTA / Link Map</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GET INVOLVED</w:t>
            </w:r>
          </w:p>
        </w:tc>
        <w:tc>
          <w:tcPr>
            <w:tcW w:type="dxa" w:w="8208"/>
            <w:vAlign w:val="top"/>
            <w:tcMar>
              <w:top w:w="100" w:type="dxa"/>
              <w:start w:w="100" w:type="dxa"/>
              <w:bottom w:w="100" w:type="dxa"/>
              <w:end w:w="100" w:type="dxa"/>
            </w:tcMar>
          </w:tcPr>
          <w:p>
            <w:r>
              <w:rPr>
                <w:sz w:val="18"/>
              </w:rPr>
              <w:t>/get-involved</w:t>
            </w:r>
          </w:p>
        </w:tc>
      </w:tr>
      <w:tr>
        <w:tc>
          <w:tcPr>
            <w:tcW w:type="dxa" w:w="2520"/>
            <w:vAlign w:val="top"/>
            <w:shd w:fill="F0F2F5"/>
            <w:tcMar>
              <w:top w:w="100" w:type="dxa"/>
              <w:start w:w="100" w:type="dxa"/>
              <w:bottom w:w="100" w:type="dxa"/>
              <w:end w:w="100" w:type="dxa"/>
            </w:tcMar>
          </w:tcPr>
          <w:p>
            <w:r>
              <w:rPr>
                <w:b/>
                <w:color w:val="0A1E3D"/>
                <w:sz w:val="18"/>
              </w:rPr>
              <w:t>GIVE</w:t>
            </w:r>
          </w:p>
        </w:tc>
        <w:tc>
          <w:tcPr>
            <w:tcW w:type="dxa" w:w="8208"/>
            <w:vAlign w:val="top"/>
            <w:tcMar>
              <w:top w:w="100" w:type="dxa"/>
              <w:start w:w="100" w:type="dxa"/>
              <w:bottom w:w="100" w:type="dxa"/>
              <w:end w:w="100" w:type="dxa"/>
            </w:tcMar>
          </w:tcPr>
          <w:p>
            <w:r>
              <w:rPr>
                <w:sz w:val="18"/>
              </w:rPr>
              <w:t>/give</w:t>
            </w:r>
          </w:p>
        </w:tc>
      </w:tr>
      <w:tr>
        <w:tc>
          <w:tcPr>
            <w:tcW w:type="dxa" w:w="2520"/>
            <w:vAlign w:val="top"/>
            <w:shd w:fill="F0F2F5"/>
            <w:tcMar>
              <w:top w:w="100" w:type="dxa"/>
              <w:start w:w="100" w:type="dxa"/>
              <w:bottom w:w="100" w:type="dxa"/>
              <w:end w:w="100" w:type="dxa"/>
            </w:tcMar>
          </w:tcPr>
          <w:p>
            <w:r>
              <w:rPr>
                <w:b/>
                <w:color w:val="0A1E3D"/>
                <w:sz w:val="18"/>
              </w:rPr>
              <w:t>EXPLORE THE ACADEMY</w:t>
            </w:r>
          </w:p>
        </w:tc>
        <w:tc>
          <w:tcPr>
            <w:tcW w:type="dxa" w:w="8208"/>
            <w:vAlign w:val="top"/>
            <w:tcMar>
              <w:top w:w="100" w:type="dxa"/>
              <w:start w:w="100" w:type="dxa"/>
              <w:bottom w:w="100" w:type="dxa"/>
              <w:end w:w="100" w:type="dxa"/>
            </w:tcMar>
          </w:tcPr>
          <w:p>
            <w:r>
              <w:rPr>
                <w:sz w:val="18"/>
              </w:rPr>
              <w:t>/academy</w:t>
            </w:r>
          </w:p>
        </w:tc>
      </w:tr>
      <w:tr>
        <w:tc>
          <w:tcPr>
            <w:tcW w:type="dxa" w:w="2520"/>
            <w:vAlign w:val="top"/>
            <w:shd w:fill="F0F2F5"/>
            <w:tcMar>
              <w:top w:w="100" w:type="dxa"/>
              <w:start w:w="100" w:type="dxa"/>
              <w:bottom w:w="100" w:type="dxa"/>
              <w:end w:w="100" w:type="dxa"/>
            </w:tcMar>
          </w:tcPr>
          <w:p>
            <w:r>
              <w:rPr>
                <w:b/>
                <w:color w:val="0A1E3D"/>
                <w:sz w:val="18"/>
              </w:rPr>
              <w:t>EXPLORE GLOBAL IMPACT</w:t>
            </w:r>
          </w:p>
        </w:tc>
        <w:tc>
          <w:tcPr>
            <w:tcW w:type="dxa" w:w="8208"/>
            <w:vAlign w:val="top"/>
            <w:tcMar>
              <w:top w:w="100" w:type="dxa"/>
              <w:start w:w="100" w:type="dxa"/>
              <w:bottom w:w="100" w:type="dxa"/>
              <w:end w:w="100" w:type="dxa"/>
            </w:tcMar>
          </w:tcPr>
          <w:p>
            <w:r>
              <w:rPr>
                <w:sz w:val="18"/>
              </w:rPr>
              <w:t>/about/global-impact</w:t>
            </w:r>
          </w:p>
        </w:tc>
      </w:tr>
      <w:tr>
        <w:tc>
          <w:tcPr>
            <w:tcW w:type="dxa" w:w="2520"/>
            <w:vAlign w:val="top"/>
            <w:shd w:fill="F0F2F5"/>
            <w:tcMar>
              <w:top w:w="100" w:type="dxa"/>
              <w:start w:w="100" w:type="dxa"/>
              <w:bottom w:w="100" w:type="dxa"/>
              <w:end w:w="100" w:type="dxa"/>
            </w:tcMar>
          </w:tcPr>
          <w:p>
            <w:r>
              <w:rPr>
                <w:b/>
                <w:color w:val="0A1E3D"/>
                <w:sz w:val="18"/>
              </w:rPr>
              <w:t>JOIN OR LEAD A TEAM</w:t>
            </w:r>
          </w:p>
        </w:tc>
        <w:tc>
          <w:tcPr>
            <w:tcW w:type="dxa" w:w="8208"/>
            <w:vAlign w:val="top"/>
            <w:tcMar>
              <w:top w:w="100" w:type="dxa"/>
              <w:start w:w="100" w:type="dxa"/>
              <w:bottom w:w="100" w:type="dxa"/>
              <w:end w:w="100" w:type="dxa"/>
            </w:tcMar>
          </w:tcPr>
          <w:p>
            <w:r>
              <w:rPr>
                <w:sz w:val="18"/>
              </w:rPr>
              <w:t>/get-involved/mission-trips</w:t>
            </w:r>
          </w:p>
        </w:tc>
      </w:tr>
      <w:tr>
        <w:tc>
          <w:tcPr>
            <w:tcW w:type="dxa" w:w="2520"/>
            <w:vAlign w:val="top"/>
            <w:shd w:fill="F0F2F5"/>
            <w:tcMar>
              <w:top w:w="100" w:type="dxa"/>
              <w:start w:w="100" w:type="dxa"/>
              <w:bottom w:w="100" w:type="dxa"/>
              <w:end w:w="100" w:type="dxa"/>
            </w:tcMar>
          </w:tcPr>
          <w:p>
            <w:r>
              <w:rPr>
                <w:b/>
                <w:color w:val="0A1E3D"/>
                <w:sz w:val="18"/>
              </w:rPr>
              <w:t>Know Jesus link</w:t>
            </w:r>
          </w:p>
        </w:tc>
        <w:tc>
          <w:tcPr>
            <w:tcW w:type="dxa" w:w="8208"/>
            <w:vAlign w:val="top"/>
            <w:tcMar>
              <w:top w:w="100" w:type="dxa"/>
              <w:start w:w="100" w:type="dxa"/>
              <w:bottom w:w="100" w:type="dxa"/>
              <w:end w:w="100" w:type="dxa"/>
            </w:tcMar>
          </w:tcPr>
          <w:p>
            <w:r>
              <w:rPr>
                <w:sz w:val="18"/>
              </w:rPr>
              <w:t>/jesus</w:t>
            </w:r>
          </w:p>
        </w:tc>
      </w:tr>
      <w:tr>
        <w:tc>
          <w:tcPr>
            <w:tcW w:type="dxa" w:w="2520"/>
            <w:vAlign w:val="top"/>
            <w:shd w:fill="F0F2F5"/>
            <w:tcMar>
              <w:top w:w="100" w:type="dxa"/>
              <w:start w:w="100" w:type="dxa"/>
              <w:bottom w:w="100" w:type="dxa"/>
              <w:end w:w="100" w:type="dxa"/>
            </w:tcMar>
          </w:tcPr>
          <w:p>
            <w:r>
              <w:rPr>
                <w:b/>
                <w:color w:val="0A1E3D"/>
                <w:sz w:val="18"/>
              </w:rPr>
              <w:t>Stories of Hope</w:t>
            </w:r>
          </w:p>
        </w:tc>
        <w:tc>
          <w:tcPr>
            <w:tcW w:type="dxa" w:w="8208"/>
            <w:vAlign w:val="top"/>
            <w:tcMar>
              <w:top w:w="100" w:type="dxa"/>
              <w:start w:w="100" w:type="dxa"/>
              <w:bottom w:w="100" w:type="dxa"/>
              <w:end w:w="100" w:type="dxa"/>
            </w:tcMar>
          </w:tcPr>
          <w:p>
            <w:r>
              <w:rPr>
                <w:sz w:val="18"/>
              </w:rPr>
              <w:t>/stories</w:t>
            </w:r>
          </w:p>
        </w:tc>
      </w:tr>
    </w:tbl>
    <w:p/>
    <w:p>
      <w:pPr>
        <w:pStyle w:val="Heading1"/>
      </w:pPr>
      <w:r>
        <w:t>Source Copy</w:t>
      </w:r>
    </w:p>
    <w:tbl>
      <w:tblPr>
        <w:tblW w:type="auto" w:w="0"/>
        <w:jc w:val="center"/>
        <w:tblLook w:firstColumn="1" w:firstRow="1" w:lastColumn="0" w:lastRow="0" w:noHBand="0" w:noVBand="1" w:val="04A0"/>
      </w:tblPr>
      <w:tblGrid>
        <w:gridCol w:w="10282"/>
      </w:tblGrid>
      <w:tr>
        <w:tc>
          <w:tcPr>
            <w:tcW w:type="dxa" w:w="10282"/>
            <w:shd w:fill="EEF5FC"/>
            <w:tcMar>
              <w:top w:w="120" w:type="dxa"/>
              <w:start w:w="150" w:type="dxa"/>
              <w:bottom w:w="120" w:type="dxa"/>
              <w:end w:w="150" w:type="dxa"/>
            </w:tcMar>
          </w:tcPr>
          <w:p>
            <w:r>
              <w:rPr>
                <w:b/>
                <w:color w:val="0A1E3D"/>
                <w:sz w:val="19"/>
              </w:rPr>
              <w:t>Use this copy as the build source. Do not rewrite it during construction. If a later approved revision is issued, replace the affected section rather than improvising copy.</w:t>
            </w:r>
          </w:p>
        </w:tc>
      </w:tr>
    </w:tbl>
    <w:p/>
    <w:p>
      <w:pPr>
        <w:pStyle w:val="Heading2"/>
      </w:pPr>
      <w:r>
        <w:t>Opening Section</w:t>
      </w:r>
    </w:p>
    <w:p>
      <w:r>
        <w:t>Raising a Generation for Jesus</w:t>
      </w:r>
    </w:p>
    <w:p>
      <w:r>
        <w:t>Jesus Generation is an international evangelical movement with a unique strategy to reach the world's largest unreached people group: school-age children.</w:t>
      </w:r>
    </w:p>
    <w:p>
      <w:r>
        <w:t>Through school chaplaincy, evangelism, discipleship, missions, and leadership development, we bring the Gospel into schools and communities where relationships already exist and doors are open. Through Jesus Generation Academy, we train and equip the chaplains, pastors, missionaries, and Christian leaders who will carry that mission forward.</w:t>
      </w:r>
    </w:p>
    <w:p>
      <w:r>
        <w:rPr>
          <w:b/>
          <w:color w:val="0D47A1"/>
        </w:rPr>
        <w:t>GET INVOLVED</w:t>
      </w:r>
    </w:p>
    <w:p>
      <w:r>
        <w:rPr>
          <w:b/>
          <w:color w:val="0D47A1"/>
        </w:rPr>
        <w:t>GIVE</w:t>
      </w:r>
    </w:p>
    <w:p>
      <w:pPr>
        <w:pStyle w:val="Heading2"/>
      </w:pPr>
      <w:r>
        <w:t>Why Jesus Generation Matters</w:t>
      </w:r>
    </w:p>
    <w:p>
      <w:r>
        <w:t>School-age children gather every day in one of the most influential environments in their lives: the school. Jesus Generation has spent decades developing a ministry strategy that places trusted Christian leaders within those school communities.</w:t>
      </w:r>
    </w:p>
    <w:p>
      <w:r>
        <w:t>School chaplaincy gives us something extraordinarily valuable: presence. Chaplains can build relationships with students, teachers, families, and communities over time. From that foundation come opportunities for evangelism, prayer, discipleship, pastoral care, family ministry, and connection with local churches.</w:t>
      </w:r>
    </w:p>
    <w:p>
      <w:r>
        <w:t>The objective is not simply to place chaplains in schools.</w:t>
      </w:r>
    </w:p>
    <w:p>
      <w:r>
        <w:t>The objective is to reach a generation for Jesus Christ.</w:t>
      </w:r>
    </w:p>
    <w:p>
      <w:pPr>
        <w:pStyle w:val="Heading2"/>
      </w:pPr>
      <w:r>
        <w:t>Our Mission</w:t>
      </w:r>
    </w:p>
    <w:p>
      <w:r>
        <w:t>To reach school-age children with the Gospel of Jesus Christ, make disciples, and equip chaplains, pastors, missionaries, and Christian leaders to carry the Gospel into their schools, families, communities, and nations.</w:t>
      </w:r>
    </w:p>
    <w:p>
      <w:pPr>
        <w:pStyle w:val="Heading2"/>
      </w:pPr>
      <w:r>
        <w:t>Our Vision</w:t>
      </w:r>
    </w:p>
    <w:p>
      <w:r>
        <w:t>To see a generation transformed by Jesus Christ and equipped to reach the generation that follows.</w:t>
      </w:r>
    </w:p>
    <w:p>
      <w:pPr>
        <w:pStyle w:val="Heading2"/>
      </w:pPr>
      <w:r>
        <w:t>Our Strategy</w:t>
      </w:r>
    </w:p>
    <w:p>
      <w:r>
        <w:rPr>
          <w:b/>
          <w:color w:val="0D47A1"/>
        </w:rPr>
        <w:t>REACH</w:t>
      </w:r>
    </w:p>
    <w:p>
      <w:r>
        <w:t>Go where children already are.</w:t>
      </w:r>
    </w:p>
    <w:p>
      <w:r>
        <w:rPr>
          <w:b/>
          <w:color w:val="0D47A1"/>
        </w:rPr>
        <w:t>EVANGELIZE</w:t>
      </w:r>
    </w:p>
    <w:p>
      <w:r>
        <w:t>Clearly proclaim Jesus Christ and invite people to receive Him as Lord and Savior.</w:t>
      </w:r>
    </w:p>
    <w:p>
      <w:r>
        <w:rPr>
          <w:b/>
          <w:color w:val="0D47A1"/>
        </w:rPr>
        <w:t>DISCIPLE</w:t>
      </w:r>
    </w:p>
    <w:p>
      <w:r>
        <w:t>Help new believers grow in Scripture, prayer, faith, Christian character, and obedience to Christ.</w:t>
      </w:r>
    </w:p>
    <w:p>
      <w:r>
        <w:rPr>
          <w:b/>
          <w:color w:val="0D47A1"/>
        </w:rPr>
        <w:t>EQUIP</w:t>
      </w:r>
    </w:p>
    <w:p>
      <w:r>
        <w:t>Train chaplains, pastors, missionaries, and leaders through Jesus Generation Academy.</w:t>
      </w:r>
    </w:p>
    <w:p>
      <w:r>
        <w:rPr>
          <w:b/>
          <w:color w:val="0D47A1"/>
        </w:rPr>
        <w:t>SEND</w:t>
      </w:r>
    </w:p>
    <w:p>
      <w:r>
        <w:t>Mobilize believers into schools, communities, churches, and nations.</w:t>
      </w:r>
    </w:p>
    <w:p>
      <w:r>
        <w:rPr>
          <w:b/>
          <w:color w:val="0D47A1"/>
        </w:rPr>
        <w:t>MULTIPLY</w:t>
      </w:r>
    </w:p>
    <w:p>
      <w:r>
        <w:t>Develop leaders who develop other leaders.</w:t>
      </w:r>
    </w:p>
    <w:p>
      <w:pPr>
        <w:pStyle w:val="Heading2"/>
      </w:pPr>
      <w:r>
        <w:t>What We Do</w:t>
      </w:r>
    </w:p>
    <w:p>
      <w:pPr>
        <w:pStyle w:val="Heading3"/>
      </w:pPr>
      <w:r>
        <w:t>School Chaplaincy</w:t>
      </w:r>
    </w:p>
    <w:p>
      <w:r>
        <w:t>Our primary strategy for sustained ministry among school-age children and their communities.</w:t>
      </w:r>
    </w:p>
    <w:p>
      <w:pPr>
        <w:pStyle w:val="Heading3"/>
      </w:pPr>
      <w:r>
        <w:t>Evangelism</w:t>
      </w:r>
    </w:p>
    <w:p>
      <w:r>
        <w:t>We clearly proclaim the Gospel and give people the opportunity to respond personally to Jesus Christ.</w:t>
      </w:r>
    </w:p>
    <w:p>
      <w:pPr>
        <w:pStyle w:val="Heading3"/>
      </w:pPr>
      <w:r>
        <w:t>Discipleship</w:t>
      </w:r>
    </w:p>
    <w:p>
      <w:r>
        <w:t>We help believers move beyond a moment of decision into a lifelong relationship with Christ.</w:t>
      </w:r>
    </w:p>
    <w:p>
      <w:pPr>
        <w:pStyle w:val="Heading3"/>
      </w:pPr>
      <w:r>
        <w:t>Missions</w:t>
      </w:r>
    </w:p>
    <w:p>
      <w:r>
        <w:t>We mobilize teams to serve alongside established national leaders, often entering school communities where students and faculty have already been assembled to receive them.</w:t>
      </w:r>
    </w:p>
    <w:p>
      <w:pPr>
        <w:pStyle w:val="Heading3"/>
      </w:pPr>
      <w:r>
        <w:t>Leadership Development</w:t>
      </w:r>
    </w:p>
    <w:p>
      <w:r>
        <w:t>We develop the people who will continue the work after a mission trip ends and who can multiply ministry within their own nations.</w:t>
      </w:r>
    </w:p>
    <w:p>
      <w:pPr>
        <w:pStyle w:val="Heading2"/>
      </w:pPr>
      <w:r>
        <w:t>Jesus Generation Academy</w:t>
      </w:r>
    </w:p>
    <w:p>
      <w:pPr>
        <w:pStyle w:val="Heading2"/>
      </w:pPr>
      <w:r>
        <w:t>Equipping Those Who Reach the Next Generation</w:t>
      </w:r>
    </w:p>
    <w:p>
      <w:r>
        <w:t>Jesus Generation Academy is the training and educational arm of the movement.</w:t>
      </w:r>
    </w:p>
    <w:p>
      <w:r>
        <w:t>The Academy provides accessible Christian education in English and Spanish for:</w:t>
      </w:r>
    </w:p>
    <w:p>
      <w:r>
        <w:t>Chaplains</w:t>
      </w:r>
    </w:p>
    <w:p>
      <w:r>
        <w:t>Pastors</w:t>
      </w:r>
    </w:p>
    <w:p>
      <w:r>
        <w:t>Missionaries</w:t>
      </w:r>
    </w:p>
    <w:p>
      <w:r>
        <w:t>Ministry leaders</w:t>
      </w:r>
    </w:p>
    <w:p>
      <w:r>
        <w:t>Emerging leaders</w:t>
      </w:r>
    </w:p>
    <w:p>
      <w:r>
        <w:t>Churches</w:t>
      </w:r>
    </w:p>
    <w:p>
      <w:r>
        <w:t>Mission participants</w:t>
      </w:r>
    </w:p>
    <w:p>
      <w:r>
        <w:t>Believers seeking deeper biblical training</w:t>
      </w:r>
    </w:p>
    <w:p>
      <w:r>
        <w:t>Training can include Jesus Generation courses as well as carefully selected resources from trusted Christian educational and ministry partners.</w:t>
      </w:r>
    </w:p>
    <w:p>
      <w:r>
        <w:t>Major pathways include:</w:t>
      </w:r>
    </w:p>
    <w:p>
      <w:pPr>
        <w:pStyle w:val="Heading3"/>
      </w:pPr>
      <w:r>
        <w:t>Chaplain Training &amp; Certification</w:t>
      </w:r>
    </w:p>
    <w:p>
      <w:pPr>
        <w:pStyle w:val="Heading3"/>
      </w:pPr>
      <w:r>
        <w:t>Pastoral &amp; Theological Education</w:t>
      </w:r>
    </w:p>
    <w:p>
      <w:pPr>
        <w:pStyle w:val="Heading3"/>
      </w:pPr>
      <w:r>
        <w:t>Leadership &amp; Train-the-Trainer</w:t>
      </w:r>
    </w:p>
    <w:p>
      <w:pPr>
        <w:pStyle w:val="Heading3"/>
      </w:pPr>
      <w:r>
        <w:t>Missions &amp; Evangelism</w:t>
      </w:r>
    </w:p>
    <w:p>
      <w:pPr>
        <w:pStyle w:val="Heading3"/>
      </w:pPr>
      <w:r>
        <w:t>Discipleship</w:t>
      </w:r>
    </w:p>
    <w:p>
      <w:r>
        <w:t>The Academy allows Jesus Generation not only to reach people, but to equip them to reach others.</w:t>
      </w:r>
    </w:p>
    <w:p>
      <w:r>
        <w:rPr>
          <w:b/>
          <w:color w:val="0D47A1"/>
        </w:rPr>
        <w:t>EXPLORE THE ACADEMY</w:t>
      </w:r>
    </w:p>
    <w:p>
      <w:pPr>
        <w:pStyle w:val="Heading2"/>
      </w:pPr>
      <w:r>
        <w:t>Global Impact</w:t>
      </w:r>
    </w:p>
    <w:p>
      <w:r>
        <w:t>Jesus Generation grows out of more than three decades of international ministry.</w:t>
      </w:r>
    </w:p>
    <w:p>
      <w:r>
        <w:t>Today the broader network includes approximately:</w:t>
      </w:r>
    </w:p>
    <w:p>
      <w:r>
        <w:t>50,000 chaplains and ministry workers</w:t>
      </w:r>
    </w:p>
    <w:p>
      <w:r>
        <w:t>41,000 schools</w:t>
      </w:r>
    </w:p>
    <w:p>
      <w:r>
        <w:t>20+ nations</w:t>
      </w:r>
    </w:p>
    <w:p>
      <w:r>
        <w:t>But the significance is not ultimately found in numbers.</w:t>
      </w:r>
    </w:p>
    <w:p>
      <w:r>
        <w:t>It is found in children hearing the Gospel, families receiving ministry, pastors being strengthened, chaplains being equipped, and national Christian leaders taking responsibility for reaching their own communities.</w:t>
      </w:r>
    </w:p>
    <w:p>
      <w:r>
        <w:rPr>
          <w:b/>
          <w:color w:val="0D47A1"/>
        </w:rPr>
        <w:t>EXPLORE GLOBAL IMPACT</w:t>
      </w:r>
    </w:p>
    <w:p>
      <w:pPr>
        <w:pStyle w:val="Heading2"/>
      </w:pPr>
      <w:r>
        <w:t>Mission Trips</w:t>
      </w:r>
    </w:p>
    <w:p>
      <w:r>
        <w:t>Go Where the Doors Are Open</w:t>
      </w:r>
    </w:p>
    <w:p>
      <w:r>
        <w:t>Jesus Generation mission trips provide an unusual opportunity for direct Gospel ministry.</w:t>
      </w:r>
    </w:p>
    <w:p>
      <w:r>
        <w:t>When participating, school communities know a mission team is coming, and students and faculty can organize in advance. A typical 20-person team can divide into pairs, allowing ten groups to minister at the same time.</w:t>
      </w:r>
    </w:p>
    <w:p>
      <w:r>
        <w:t>Every participant shares.</w:t>
      </w:r>
    </w:p>
    <w:p>
      <w:r>
        <w:t>Every participant gives testimony.</w:t>
      </w:r>
    </w:p>
    <w:p>
      <w:r>
        <w:t>Every participant learns to present the Gospel.</w:t>
      </w:r>
    </w:p>
    <w:p>
      <w:r>
        <w:t>Every participant has the opportunity to invite people to receive Jesus Christ.</w:t>
      </w:r>
    </w:p>
    <w:p>
      <w:r>
        <w:t>This is not a model built around one featured preacher and nineteen spectators.</w:t>
      </w:r>
    </w:p>
    <w:p>
      <w:r>
        <w:t>The team carries the Gospel together.</w:t>
      </w:r>
    </w:p>
    <w:p>
      <w:r>
        <w:rPr>
          <w:b/>
          <w:color w:val="0D47A1"/>
        </w:rPr>
        <w:t>JOIN OR LEAD A TEAM</w:t>
      </w:r>
    </w:p>
    <w:p>
      <w:pPr>
        <w:pStyle w:val="Heading2"/>
      </w:pPr>
      <w:r>
        <w:t>How You Can Help</w:t>
      </w:r>
    </w:p>
    <w:p>
      <w:r>
        <w:rPr>
          <w:b/>
          <w:color w:val="0D47A1"/>
        </w:rPr>
        <w:t>GO</w:t>
      </w:r>
    </w:p>
    <w:p>
      <w:r>
        <w:t>Take the Gospel personally into schools and communities.</w:t>
      </w:r>
    </w:p>
    <w:p>
      <w:r>
        <w:rPr>
          <w:b/>
          <w:color w:val="0D47A1"/>
        </w:rPr>
        <w:t>SERVE</w:t>
      </w:r>
    </w:p>
    <w:p>
      <w:r>
        <w:t>Use what God has placed in your hands.</w:t>
      </w:r>
    </w:p>
    <w:p>
      <w:r>
        <w:rPr>
          <w:b/>
          <w:color w:val="0D47A1"/>
        </w:rPr>
        <w:t>PARTNER</w:t>
      </w:r>
    </w:p>
    <w:p>
      <w:r>
        <w:t>Bring your church, ministry, business, foundation, or organization alongside the mission.</w:t>
      </w:r>
    </w:p>
    <w:p>
      <w:r>
        <w:rPr>
          <w:b/>
          <w:color w:val="0D47A1"/>
        </w:rPr>
        <w:t>GIVE</w:t>
      </w:r>
    </w:p>
    <w:p>
      <w:r>
        <w:t>Provide the resources that allow the Gospel, training, and discipleship to reach farther.</w:t>
      </w:r>
    </w:p>
    <w:p>
      <w:pPr>
        <w:pStyle w:val="Heading2"/>
      </w:pPr>
      <w:r>
        <w:t>Final Invitation</w:t>
      </w:r>
    </w:p>
    <w:p>
      <w:r>
        <w:t>The Next Generation Is Within Reach</w:t>
      </w:r>
    </w:p>
    <w:p>
      <w:r>
        <w:t>The schools are there.</w:t>
      </w:r>
    </w:p>
    <w:p>
      <w:r>
        <w:t>The relationships are established.</w:t>
      </w:r>
    </w:p>
    <w:p>
      <w:r>
        <w:t>Christian leaders are serving.</w:t>
      </w:r>
    </w:p>
    <w:p>
      <w:r>
        <w:t>The Academy can equip more.</w:t>
      </w:r>
    </w:p>
    <w:p>
      <w:r>
        <w:t>Mission teams can reach more.</w:t>
      </w:r>
    </w:p>
    <w:p>
      <w:r>
        <w:t>And partners can help open the next door.</w:t>
      </w:r>
    </w:p>
    <w:p>
      <w:r>
        <w:t>Go. Serve. Partner. Give.</w:t>
      </w:r>
    </w:p>
    <w:p>
      <w:r>
        <w:t>Help us raise a generation for Jesus.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D85"/>
        <w:sz w:val="15"/>
      </w:rPr>
      <w:t>Webmaster Build Package  |  Source: Master Website Content Draft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A7D85"/>
        <w:sz w:val="16"/>
      </w:rPr>
      <w:t>JESUS GENERATION | HOME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B2D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1E3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A1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rial" w:hAnsi="Arial"/>
      <w:b/>
      <w:color w:val="0A1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