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9" w:lineRule="auto"/>
      </w:pPr>
      <w:r>
        <w:rPr>
          <w:rFonts w:ascii="Calibri" w:hAnsi="Calibri" w:cs="Calibri"/>
          <w:b/>
          <w:i w:val="0"/>
          <w:color w:val="0D47A1"/>
          <w:sz w:val="22"/>
        </w:rPr>
        <w:t>PLAN DE TRABAJO</w:t>
      </w:r>
    </w:p>
    <w:p>
      <w:pPr>
        <w:spacing w:before="0" w:after="40" w:line="259" w:lineRule="auto"/>
      </w:pPr>
      <w:r>
        <w:rPr>
          <w:rFonts w:ascii="Calibri" w:hAnsi="Calibri" w:cs="Calibri"/>
          <w:b/>
          <w:i w:val="0"/>
          <w:color w:val="0A1E3D"/>
          <w:sz w:val="48"/>
        </w:rPr>
        <w:t>Home lista para revisión</w:t>
      </w:r>
    </w:p>
    <w:p>
      <w:pPr>
        <w:spacing w:before="0" w:after="0" w:line="259" w:lineRule="auto"/>
      </w:pPr>
      <w:r>
        <w:rPr>
          <w:rFonts w:ascii="Calibri" w:hAnsi="Calibri" w:cs="Calibri"/>
          <w:b w:val="0"/>
          <w:i w:val="0"/>
          <w:color w:val="0D47A1"/>
          <w:sz w:val="28"/>
        </w:rPr>
        <w:t>Jesus Generation</w:t>
      </w:r>
    </w:p>
    <w:p>
      <w:pPr>
        <w:spacing w:before="0" w:after="200" w:line="259" w:lineRule="auto"/>
      </w:pPr>
      <w:r>
        <w:rPr>
          <w:rFonts w:ascii="Calibri" w:hAnsi="Calibri" w:cs="Calibri"/>
          <w:b w:val="0"/>
          <w:i w:val="0"/>
          <w:color w:val="5C616A"/>
          <w:sz w:val="22"/>
        </w:rPr>
        <w:t>30 de septiembre de 2026</w:t>
      </w:r>
    </w:p>
    <w:p>
      <w:pPr>
        <w:spacing w:before="0" w:after="160" w:line="259" w:lineRule="auto"/>
      </w:pPr>
      <w:r>
        <w:rPr>
          <w:rFonts w:ascii="Calibri" w:hAnsi="Calibri" w:cs="Calibri"/>
          <w:b w:val="0"/>
          <w:i w:val="0"/>
          <w:color w:val="2B2D31"/>
          <w:sz w:val="22"/>
        </w:rPr>
        <w:t>Recibimos sus respuestas y la prioridad de publicar primero la página principal. Este plan ordena el trabajo en sprints de una semana. El Sprint 1 tiene una sola meta: la Home en inglés, construida como producto final, lista para su revisión.</w:t>
      </w:r>
    </w:p>
    <w:p>
      <w:pPr>
        <w:spacing w:before="0" w:after="160" w:line="259" w:lineRule="auto"/>
      </w:pPr>
      <w:r>
        <w:rPr>
          <w:rFonts w:ascii="Calibri" w:hAnsi="Calibri" w:cs="Calibri"/>
          <w:b w:val="0"/>
          <w:i w:val="0"/>
          <w:color w:val="2B2D31"/>
          <w:sz w:val="22"/>
        </w:rPr>
        <w:t>La fecha comprometida de esa revisión es el martes 7 de octubre de 2026. El resto del sitio sigue en el backlog y no se promete para esa fecha. Cualquier botón que hoy llevaría a otra página irá, de forma temporal, a una página sencilla que dice “En construcción”.</w:t>
      </w:r>
    </w:p>
    <w:p>
      <w:pPr>
        <w:spacing w:before="320" w:after="120"/>
        <w:pBdr>
          <w:bottom w:val="single" w:sz="12" w:space="1" w:color="0D47A1"/>
        </w:pBdr>
      </w:pPr>
      <w:r>
        <w:rPr>
          <w:rFonts w:ascii="Calibri" w:hAnsi="Calibri" w:cs="Calibri"/>
          <w:b/>
          <w:i w:val="0"/>
          <w:color w:val="0A1E3D"/>
          <w:sz w:val="32"/>
        </w:rPr>
        <w:t>Cómo vamos a trabajar</w:t>
      </w:r>
    </w:p>
    <w:p>
      <w:pPr>
        <w:spacing w:before="0" w:after="160" w:line="259" w:lineRule="auto"/>
      </w:pPr>
      <w:r>
        <w:rPr>
          <w:rFonts w:ascii="Calibri" w:hAnsi="Calibri" w:cs="Calibri"/>
          <w:b w:val="0"/>
          <w:i w:val="0"/>
          <w:color w:val="2B2D31"/>
          <w:sz w:val="22"/>
        </w:rPr>
        <w:t>Un sprint es una semana con un objetivo que se puede revisar. Usted es quien aprueba el resultado. El equipo técnico construye. Al cierre de cada sprint hay una revisión. Nada se publica al público hasta su aprobación final.</w:t>
      </w:r>
    </w:p>
    <w:p>
      <w:pPr>
        <w:spacing w:after="60" w:before="0"/>
        <w:ind w:left="403" w:hanging="216"/>
      </w:pPr>
      <w:r>
        <w:rPr>
          <w:rFonts w:ascii="Calibri" w:hAnsi="Calibri" w:cs="Calibri"/>
          <w:b w:val="0"/>
          <w:i w:val="0"/>
          <w:color w:val="2B2D31"/>
          <w:sz w:val="22"/>
        </w:rPr>
        <w:t>•  El product backlog es la lista ordenada de lo que falta. El orden sigue lo que usted pidió: primero Home, después el resto, y el español solo cuando el inglés esté aprobado.</w:t>
      </w:r>
    </w:p>
    <w:p>
      <w:pPr>
        <w:spacing w:after="60" w:before="0"/>
        <w:ind w:left="403" w:hanging="216"/>
      </w:pPr>
      <w:r>
        <w:rPr>
          <w:rFonts w:ascii="Calibri" w:hAnsi="Calibri" w:cs="Calibri"/>
          <w:b w:val="0"/>
          <w:i w:val="0"/>
          <w:color w:val="2B2D31"/>
          <w:sz w:val="22"/>
        </w:rPr>
        <w:t>•  Cada historia de usuario dice qué debe poder hacer el visitante y cómo sabremos que está terminada.</w:t>
      </w:r>
    </w:p>
    <w:p>
      <w:pPr>
        <w:spacing w:after="60" w:before="0"/>
        <w:ind w:left="403" w:hanging="216"/>
      </w:pPr>
      <w:r>
        <w:rPr>
          <w:rFonts w:ascii="Calibri" w:hAnsi="Calibri" w:cs="Calibri"/>
          <w:b w:val="0"/>
          <w:i w:val="0"/>
          <w:color w:val="2B2D31"/>
          <w:sz w:val="22"/>
        </w:rPr>
        <w:t>•  Si una historia necesita un dato, una foto o un acceso que solo usted puede dar, queda escrito en esa historia. Sin ese material no inventamos el contenido.</w:t>
      </w:r>
    </w:p>
    <w:p>
      <w:pPr>
        <w:spacing w:after="60" w:before="0"/>
        <w:ind w:left="403" w:hanging="216"/>
      </w:pPr>
      <w:r>
        <w:rPr>
          <w:rFonts w:ascii="Calibri" w:hAnsi="Calibri" w:cs="Calibri"/>
          <w:b w:val="0"/>
          <w:i w:val="0"/>
          <w:color w:val="2B2D31"/>
          <w:sz w:val="22"/>
        </w:rPr>
        <w:t>•  El Borrador n.º 3 sigue siendo la base del texto, excepto donde usted ya cambió la estrategia. El cambio que manda ahora es este: la Academia no tiene presencia pública en esta etapa.</w:t>
      </w:r>
    </w:p>
    <w:p>
      <w:pPr>
        <w:spacing w:before="320" w:after="120"/>
        <w:pBdr>
          <w:bottom w:val="single" w:sz="12" w:space="1" w:color="0D47A1"/>
        </w:pBdr>
      </w:pPr>
      <w:r>
        <w:rPr>
          <w:rFonts w:ascii="Calibri" w:hAnsi="Calibri" w:cs="Calibri"/>
          <w:b/>
          <w:i w:val="0"/>
          <w:color w:val="0A1E3D"/>
          <w:sz w:val="32"/>
        </w:rPr>
        <w:t>Lo que quedó decidido</w:t>
      </w:r>
    </w:p>
    <w:p>
      <w:pPr>
        <w:spacing w:after="60" w:before="0"/>
        <w:ind w:left="403" w:hanging="216"/>
      </w:pPr>
      <w:r>
        <w:rPr>
          <w:rFonts w:ascii="Calibri" w:hAnsi="Calibri" w:cs="Calibri"/>
          <w:b w:val="0"/>
          <w:i w:val="0"/>
          <w:color w:val="2B2D31"/>
          <w:sz w:val="22"/>
        </w:rPr>
        <w:t>•  Menú público: HOME | ABOUT | CONTACT. Botones permanentes: GET INVOLVED y GIVE. GIVE permanece en rojo. El texto del botón es GIVE, no “GIVE TODAY”.</w:t>
      </w:r>
    </w:p>
    <w:p>
      <w:pPr>
        <w:spacing w:after="60" w:before="0"/>
        <w:ind w:left="403" w:hanging="216"/>
      </w:pPr>
      <w:r>
        <w:rPr>
          <w:rFonts w:ascii="Calibri" w:hAnsi="Calibri" w:cs="Calibri"/>
          <w:b w:val="0"/>
          <w:i w:val="0"/>
          <w:color w:val="2B2D31"/>
          <w:sz w:val="22"/>
        </w:rPr>
        <w:t>•  Stories y Know Jesus no van en el menú principal. Se alcanzan desde una llamada a la acción o desde el pie de página.</w:t>
      </w:r>
    </w:p>
    <w:p>
      <w:pPr>
        <w:spacing w:after="60" w:before="0"/>
        <w:ind w:left="403" w:hanging="216"/>
      </w:pPr>
      <w:r>
        <w:rPr>
          <w:rFonts w:ascii="Calibri" w:hAnsi="Calibri" w:cs="Calibri"/>
          <w:b w:val="0"/>
          <w:i w:val="0"/>
          <w:color w:val="2B2D31"/>
          <w:sz w:val="22"/>
        </w:rPr>
        <w:t>•  La Academia sale de la navegación pública, del SEO público y de la Home. No hay catálogo, precios, certificados ni login en el sitio público. El acceso futuro será por enlaces directos de campañas aprobadas o de Formando Vidas.</w:t>
      </w:r>
    </w:p>
    <w:p>
      <w:pPr>
        <w:spacing w:after="60" w:before="0"/>
        <w:ind w:left="403" w:hanging="216"/>
      </w:pPr>
      <w:r>
        <w:rPr>
          <w:rFonts w:ascii="Calibri" w:hAnsi="Calibri" w:cs="Calibri"/>
          <w:b w:val="0"/>
          <w:i w:val="0"/>
          <w:color w:val="2B2D31"/>
          <w:sz w:val="22"/>
        </w:rPr>
        <w:t>•  Las secciones largas no se convierten en páginas sueltas todavía. Leadership queda dentro de About. Mission trips, dentro de Get Involved. Monthly giving, dentro de Give. Prayer, dentro de Contact.</w:t>
      </w:r>
    </w:p>
    <w:p>
      <w:pPr>
        <w:spacing w:after="60" w:before="0"/>
        <w:ind w:left="403" w:hanging="216"/>
      </w:pPr>
      <w:r>
        <w:rPr>
          <w:rFonts w:ascii="Calibri" w:hAnsi="Calibri" w:cs="Calibri"/>
          <w:b w:val="0"/>
          <w:i w:val="0"/>
          <w:color w:val="2B2D31"/>
          <w:sz w:val="22"/>
        </w:rPr>
        <w:t>•  No se publican historias, nombres ni citas sin verificación. Se retiran las que están ahora, sobre todo las de menores. No habrá un formulario público para enviar historias.</w:t>
      </w:r>
    </w:p>
    <w:p>
      <w:pPr>
        <w:spacing w:after="60" w:before="0"/>
        <w:ind w:left="403" w:hanging="216"/>
      </w:pPr>
      <w:r>
        <w:rPr>
          <w:rFonts w:ascii="Calibri" w:hAnsi="Calibri" w:cs="Calibri"/>
          <w:b w:val="0"/>
          <w:i w:val="0"/>
          <w:color w:val="2B2D31"/>
          <w:sz w:val="22"/>
        </w:rPr>
        <w:t>•  Know Jesus: el esquema de siete pasos está aprobado como concepto. La redacción exacta, en inglés y en español, se envía a revisión antes de publicar esa página. El botón Begin Discipleship permanece oculto hasta que exista un recurso aprobado.</w:t>
      </w:r>
    </w:p>
    <w:p>
      <w:pPr>
        <w:spacing w:after="60" w:before="0"/>
        <w:ind w:left="403" w:hanging="216"/>
      </w:pPr>
      <w:r>
        <w:rPr>
          <w:rFonts w:ascii="Calibri" w:hAnsi="Calibri" w:cs="Calibri"/>
          <w:b w:val="0"/>
          <w:i w:val="0"/>
          <w:color w:val="2B2D31"/>
          <w:sz w:val="22"/>
        </w:rPr>
        <w:t>•  Las cifras de la Home serán las exactas que entregue Erika, no redondeos. El bloque grande de cifras vive en la Home. En About pueden aparecer dentro del relato, sin repetir el mismo bloque. Give no se apoya en la magnitud.</w:t>
      </w:r>
    </w:p>
    <w:p>
      <w:pPr>
        <w:spacing w:after="60" w:before="0"/>
        <w:ind w:left="403" w:hanging="216"/>
      </w:pPr>
      <w:r>
        <w:rPr>
          <w:rFonts w:ascii="Calibri" w:hAnsi="Calibri" w:cs="Calibri"/>
          <w:b w:val="0"/>
          <w:i w:val="0"/>
          <w:color w:val="2B2D31"/>
          <w:sz w:val="22"/>
        </w:rPr>
        <w:t>•  En Contact, el texto de donaciones pasa a “Giving and major partnerships”. Se quita la mención de recibos fiscales. Academy sale de las categorías públicas del formulario.</w:t>
      </w:r>
    </w:p>
    <w:p>
      <w:pPr>
        <w:spacing w:after="60" w:before="0"/>
        <w:ind w:left="403" w:hanging="216"/>
      </w:pPr>
      <w:r>
        <w:rPr>
          <w:rFonts w:ascii="Calibri" w:hAnsi="Calibri" w:cs="Calibri"/>
          <w:b w:val="0"/>
          <w:i w:val="0"/>
          <w:color w:val="2B2D31"/>
          <w:sz w:val="22"/>
        </w:rPr>
        <w:t>•  Privacy, Terms y Child Safeguarding no se publican vacías. Esos enlaces permanecen ocultos hasta el texto final aprobado.</w:t>
      </w:r>
    </w:p>
    <w:p>
      <w:pPr>
        <w:spacing w:after="60" w:before="0"/>
        <w:ind w:left="403" w:hanging="216"/>
      </w:pPr>
      <w:r>
        <w:rPr>
          <w:rFonts w:ascii="Calibri" w:hAnsi="Calibri" w:cs="Calibri"/>
          <w:b w:val="0"/>
          <w:i w:val="0"/>
          <w:color w:val="2B2D31"/>
          <w:sz w:val="22"/>
        </w:rPr>
        <w:t>•  La marca se escribe Jesus Generation en inglés y en español. No se traduce el nombre.</w:t>
      </w:r>
    </w:p>
    <w:p>
      <w:pPr>
        <w:spacing w:after="60" w:before="0"/>
        <w:ind w:left="403" w:hanging="216"/>
      </w:pPr>
      <w:r>
        <w:rPr>
          <w:rFonts w:ascii="Calibri" w:hAnsi="Calibri" w:cs="Calibri"/>
          <w:b w:val="0"/>
          <w:i w:val="0"/>
          <w:color w:val="2B2D31"/>
          <w:sz w:val="22"/>
        </w:rPr>
        <w:t>•  El boletín usa un formulario nativo de GoHighLevel, con correo y una casilla de consentimiento aparte. Una consulta o una petición de oración no inscriben al boletín.</w:t>
      </w:r>
    </w:p>
    <w:p>
      <w:pPr>
        <w:spacing w:after="60" w:before="0"/>
        <w:ind w:left="403" w:hanging="216"/>
      </w:pPr>
      <w:r>
        <w:rPr>
          <w:rFonts w:ascii="Calibri" w:hAnsi="Calibri" w:cs="Calibri"/>
          <w:b w:val="0"/>
          <w:i w:val="0"/>
          <w:color w:val="2B2D31"/>
          <w:sz w:val="22"/>
        </w:rPr>
        <w:t>•  Las donaciones ordinarias no irán al formulario de contacto. Hasta tener la URL del procesador, el botón GIVE de la Home lleva a “En construcción”, no a un pago falso.</w:t>
      </w:r>
    </w:p>
    <w:p>
      <w:pPr>
        <w:spacing w:after="60" w:before="0"/>
        <w:ind w:left="403" w:hanging="216"/>
      </w:pPr>
      <w:r>
        <w:rPr>
          <w:rFonts w:ascii="Calibri" w:hAnsi="Calibri" w:cs="Calibri"/>
          <w:b w:val="0"/>
          <w:i w:val="0"/>
          <w:color w:val="2B2D31"/>
          <w:sz w:val="22"/>
        </w:rPr>
        <w:t>•  No se crean redirecciones desde URLs antiguas de Mission Generation hasta que usted apruebe una lista concreta.</w:t>
      </w:r>
    </w:p>
    <w:p>
      <w:pPr>
        <w:spacing w:after="60" w:before="0"/>
        <w:ind w:left="403" w:hanging="216"/>
      </w:pPr>
      <w:r>
        <w:rPr>
          <w:rFonts w:ascii="Calibri" w:hAnsi="Calibri" w:cs="Calibri"/>
          <w:b w:val="0"/>
          <w:i w:val="0"/>
          <w:color w:val="2B2D31"/>
          <w:sz w:val="22"/>
        </w:rPr>
        <w:t>•  La versión en inglés se completa y se aprueba antes de construir el español.</w:t>
      </w:r>
    </w:p>
    <w:p>
      <w:pPr>
        <w:spacing w:before="320" w:after="120"/>
        <w:pBdr>
          <w:bottom w:val="single" w:sz="12" w:space="1" w:color="0D47A1"/>
        </w:pBdr>
      </w:pPr>
      <w:r>
        <w:rPr>
          <w:rFonts w:ascii="Calibri" w:hAnsi="Calibri" w:cs="Calibri"/>
          <w:b/>
          <w:i w:val="0"/>
          <w:color w:val="0A1E3D"/>
          <w:sz w:val="32"/>
        </w:rPr>
        <w:t>Fecha del Sprint 1</w:t>
      </w:r>
    </w:p>
    <w:tbl>
      <w:tblPr>
        <w:tblW w:type="auto" w:w="0"/>
        <w:jc w:val="center"/>
        <w:tblLayout w:type="fixed"/>
        <w:tblLook w:firstColumn="1" w:firstRow="1" w:lastColumn="0" w:lastRow="0" w:noHBand="0" w:noVBand="1" w:val="04A0"/>
        <w:tblW w:w="10080" w:type="dxa"/>
        <w:tblLayout w:type="fixed"/>
      </w:tblPr>
      <w:tblGrid>
        <w:gridCol w:w="4200"/>
        <w:gridCol w:w="3200"/>
        <w:gridCol w:w="2680"/>
      </w:tblGrid>
      <w:tr>
        <w:trPr>
          <w:cantSplit/>
        </w:trPr>
        <w:tc>
          <w:tcPr>
            <w:tcW w:type="dxa" w:w="4200"/>
            <w:tcMar>
              <w:top w:w="50" w:type="dxa"/>
              <w:left w:w="70" w:type="dxa"/>
              <w:bottom w:w="50" w:type="dxa"/>
              <w:right w:w="70" w:type="dxa"/>
            </w:tcMar>
            <w:tcBorders>
              <w:top w:val="single" w:sz="4" w:space="0" w:color="0A1E3D"/>
              <w:left w:val="single" w:sz="4" w:space="0" w:color="0A1E3D"/>
              <w:bottom w:val="single" w:sz="4" w:space="0" w:color="0A1E3D"/>
              <w:right w:val="single" w:sz="4" w:space="0" w:color="0A1E3D"/>
            </w:tcBorders>
            <w:shd w:fill="0A1E3D" w:val="clear"/>
          </w:tcPr>
          <w:p>
            <w:pPr>
              <w:spacing w:after="0" w:before="0"/>
            </w:pPr>
            <w:r>
              <w:rPr>
                <w:rFonts w:ascii="Calibri" w:hAnsi="Calibri" w:cs="Calibri"/>
                <w:b/>
                <w:i w:val="0"/>
                <w:color w:val="FFFFFF"/>
                <w:sz w:val="18"/>
              </w:rPr>
              <w:t>Hito</w:t>
            </w:r>
          </w:p>
        </w:tc>
        <w:tc>
          <w:tcPr>
            <w:tcW w:type="dxa" w:w="3200"/>
            <w:tcMar>
              <w:top w:w="50" w:type="dxa"/>
              <w:left w:w="70" w:type="dxa"/>
              <w:bottom w:w="50" w:type="dxa"/>
              <w:right w:w="70" w:type="dxa"/>
            </w:tcMar>
            <w:tcBorders>
              <w:top w:val="single" w:sz="4" w:space="0" w:color="0A1E3D"/>
              <w:left w:val="single" w:sz="4" w:space="0" w:color="0A1E3D"/>
              <w:bottom w:val="single" w:sz="4" w:space="0" w:color="0A1E3D"/>
              <w:right w:val="single" w:sz="4" w:space="0" w:color="0A1E3D"/>
            </w:tcBorders>
            <w:shd w:fill="0A1E3D" w:val="clear"/>
          </w:tcPr>
          <w:p>
            <w:pPr>
              <w:spacing w:after="0" w:before="0"/>
            </w:pPr>
            <w:r>
              <w:rPr>
                <w:rFonts w:ascii="Calibri" w:hAnsi="Calibri" w:cs="Calibri"/>
                <w:b/>
                <w:i w:val="0"/>
                <w:color w:val="FFFFFF"/>
                <w:sz w:val="18"/>
              </w:rPr>
              <w:t>Fecha</w:t>
            </w:r>
          </w:p>
        </w:tc>
        <w:tc>
          <w:tcPr>
            <w:tcW w:type="dxa" w:w="2680"/>
            <w:tcMar>
              <w:top w:w="50" w:type="dxa"/>
              <w:left w:w="70" w:type="dxa"/>
              <w:bottom w:w="50" w:type="dxa"/>
              <w:right w:w="70" w:type="dxa"/>
            </w:tcMar>
            <w:tcBorders>
              <w:top w:val="single" w:sz="4" w:space="0" w:color="0A1E3D"/>
              <w:left w:val="single" w:sz="4" w:space="0" w:color="0A1E3D"/>
              <w:bottom w:val="single" w:sz="4" w:space="0" w:color="0A1E3D"/>
              <w:right w:val="single" w:sz="4" w:space="0" w:color="0A1E3D"/>
            </w:tcBorders>
            <w:shd w:fill="0A1E3D" w:val="clear"/>
          </w:tcPr>
          <w:p>
            <w:pPr>
              <w:spacing w:after="0" w:before="0"/>
            </w:pPr>
            <w:r>
              <w:rPr>
                <w:rFonts w:ascii="Calibri" w:hAnsi="Calibri" w:cs="Calibri"/>
                <w:b/>
                <w:i w:val="0"/>
                <w:color w:val="FFFFFF"/>
                <w:sz w:val="18"/>
              </w:rPr>
              <w:t>Quién</w:t>
            </w:r>
          </w:p>
        </w:tc>
      </w:tr>
      <w:tr>
        <w:trPr>
          <w:cantSplit/>
        </w:trPr>
        <w:tc>
          <w:tcPr>
            <w:tcW w:type="dxa" w:w="4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Inicio del Sprint 1</w:t>
            </w:r>
          </w:p>
        </w:tc>
        <w:tc>
          <w:tcPr>
            <w:tcW w:type="dxa" w:w="3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Miércoles 30 de septiembre de 2026</w:t>
            </w:r>
          </w:p>
        </w:tc>
        <w:tc>
          <w:tcPr>
            <w:tcW w:type="dxa" w:w="26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Equipo técnico</w:t>
            </w:r>
          </w:p>
        </w:tc>
      </w:tr>
      <w:tr>
        <w:trPr>
          <w:cantSplit/>
        </w:trPr>
        <w:tc>
          <w:tcPr>
            <w:tcW w:type="dxa" w:w="4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Cifras exactas de Erika</w:t>
            </w:r>
          </w:p>
        </w:tc>
        <w:tc>
          <w:tcPr>
            <w:tcW w:type="dxa" w:w="3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Viernes 2 de octubre de 2026</w:t>
            </w:r>
          </w:p>
        </w:tc>
        <w:tc>
          <w:tcPr>
            <w:tcW w:type="dxa" w:w="26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Jesus Generation</w:t>
            </w:r>
          </w:p>
        </w:tc>
      </w:tr>
      <w:tr>
        <w:trPr>
          <w:cantSplit/>
        </w:trPr>
        <w:tc>
          <w:tcPr>
            <w:tcW w:type="dxa" w:w="4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Imágenes de la Home en las medidas de este plan</w:t>
            </w:r>
          </w:p>
        </w:tc>
        <w:tc>
          <w:tcPr>
            <w:tcW w:type="dxa" w:w="3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Lunes 5 de octubre de 2026</w:t>
            </w:r>
          </w:p>
        </w:tc>
        <w:tc>
          <w:tcPr>
            <w:tcW w:type="dxa" w:w="26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Jesus Generation</w:t>
            </w:r>
          </w:p>
        </w:tc>
      </w:tr>
      <w:tr>
        <w:trPr>
          <w:cantSplit/>
        </w:trPr>
        <w:tc>
          <w:tcPr>
            <w:tcW w:type="dxa" w:w="4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Revisión de la Home en inglés</w:t>
            </w:r>
          </w:p>
        </w:tc>
        <w:tc>
          <w:tcPr>
            <w:tcW w:type="dxa" w:w="3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Martes 7 de octubre de 2026</w:t>
            </w:r>
          </w:p>
        </w:tc>
        <w:tc>
          <w:tcPr>
            <w:tcW w:type="dxa" w:w="26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Usted</w:t>
            </w:r>
          </w:p>
        </w:tc>
      </w:tr>
    </w:tbl>
    <w:p>
      <w:pPr>
        <w:spacing w:after="80" w:before="40"/>
      </w:pPr>
    </w:p>
    <w:p>
      <w:pPr>
        <w:spacing w:before="0" w:after="160" w:line="259" w:lineRule="auto"/>
      </w:pPr>
      <w:r>
        <w:rPr>
          <w:rFonts w:ascii="Calibri" w:hAnsi="Calibri" w:cs="Calibri"/>
          <w:b w:val="0"/>
          <w:i w:val="0"/>
          <w:color w:val="2B2D31"/>
          <w:sz w:val="22"/>
        </w:rPr>
        <w:t>Esa revisión del 7 de octubre se sostiene si las cifras llegan el viernes 2 y las imágenes el lunes 5. Si las imágenes llegan después, la revisión del 7 de octubre igual se hace sobre estructura, texto y navegación, y las fotos finales se colocan en los dos días hábiles siguientes a recibirlas. Las cifras no se inventan ni se redondean: si faltan el viernes, el bloque queda listo y los números entran el mismo día en que lleguen.</w:t>
      </w:r>
    </w:p>
    <w:p>
      <w:pPr>
        <w:spacing w:before="320" w:after="120"/>
        <w:pBdr>
          <w:bottom w:val="single" w:sz="12" w:space="1" w:color="0D47A1"/>
        </w:pBdr>
      </w:pPr>
      <w:r>
        <w:rPr>
          <w:rFonts w:ascii="Calibri" w:hAnsi="Calibri" w:cs="Calibri"/>
          <w:b/>
          <w:i w:val="0"/>
          <w:color w:val="0A1E3D"/>
          <w:sz w:val="32"/>
        </w:rPr>
        <w:t>Product backlog</w:t>
      </w:r>
    </w:p>
    <w:p>
      <w:pPr>
        <w:spacing w:before="0" w:after="160" w:line="259" w:lineRule="auto"/>
      </w:pPr>
      <w:r>
        <w:rPr>
          <w:rFonts w:ascii="Calibri" w:hAnsi="Calibri" w:cs="Calibri"/>
          <w:b w:val="0"/>
          <w:i w:val="0"/>
          <w:color w:val="2B2D31"/>
          <w:sz w:val="22"/>
        </w:rPr>
        <w:t>Solo el Sprint 1 tiene fecha comprometida. Los demás sprints duran una semana y su fecha se fija al cerrar el anterior. El orden ya está decidido.</w:t>
      </w:r>
    </w:p>
    <w:tbl>
      <w:tblPr>
        <w:tblW w:type="auto" w:w="0"/>
        <w:jc w:val="center"/>
        <w:tblLayout w:type="fixed"/>
        <w:tblLook w:firstColumn="1" w:firstRow="1" w:lastColumn="0" w:lastRow="0" w:noHBand="0" w:noVBand="1" w:val="04A0"/>
        <w:tblW w:w="10080" w:type="dxa"/>
        <w:tblLayout w:type="fixed"/>
      </w:tblPr>
      <w:tblGrid>
        <w:gridCol w:w="1700"/>
        <w:gridCol w:w="4200"/>
        <w:gridCol w:w="4180"/>
      </w:tblGrid>
      <w:tr>
        <w:trPr>
          <w:cantSplit/>
        </w:trPr>
        <w:tc>
          <w:tcPr>
            <w:tcW w:type="dxa" w:w="1700"/>
            <w:tcMar>
              <w:top w:w="50" w:type="dxa"/>
              <w:left w:w="70" w:type="dxa"/>
              <w:bottom w:w="50" w:type="dxa"/>
              <w:right w:w="70" w:type="dxa"/>
            </w:tcMar>
            <w:tcBorders>
              <w:top w:val="single" w:sz="4" w:space="0" w:color="0A1E3D"/>
              <w:left w:val="single" w:sz="4" w:space="0" w:color="0A1E3D"/>
              <w:bottom w:val="single" w:sz="4" w:space="0" w:color="0A1E3D"/>
              <w:right w:val="single" w:sz="4" w:space="0" w:color="0A1E3D"/>
            </w:tcBorders>
            <w:shd w:fill="0A1E3D" w:val="clear"/>
          </w:tcPr>
          <w:p>
            <w:pPr>
              <w:spacing w:after="0" w:before="0"/>
            </w:pPr>
            <w:r>
              <w:rPr>
                <w:rFonts w:ascii="Calibri" w:hAnsi="Calibri" w:cs="Calibri"/>
                <w:b/>
                <w:i w:val="0"/>
                <w:color w:val="FFFFFF"/>
                <w:sz w:val="18"/>
              </w:rPr>
              <w:t>Sprint</w:t>
            </w:r>
          </w:p>
        </w:tc>
        <w:tc>
          <w:tcPr>
            <w:tcW w:type="dxa" w:w="4200"/>
            <w:tcMar>
              <w:top w:w="50" w:type="dxa"/>
              <w:left w:w="70" w:type="dxa"/>
              <w:bottom w:w="50" w:type="dxa"/>
              <w:right w:w="70" w:type="dxa"/>
            </w:tcMar>
            <w:tcBorders>
              <w:top w:val="single" w:sz="4" w:space="0" w:color="0A1E3D"/>
              <w:left w:val="single" w:sz="4" w:space="0" w:color="0A1E3D"/>
              <w:bottom w:val="single" w:sz="4" w:space="0" w:color="0A1E3D"/>
              <w:right w:val="single" w:sz="4" w:space="0" w:color="0A1E3D"/>
            </w:tcBorders>
            <w:shd w:fill="0A1E3D" w:val="clear"/>
          </w:tcPr>
          <w:p>
            <w:pPr>
              <w:spacing w:after="0" w:before="0"/>
            </w:pPr>
            <w:r>
              <w:rPr>
                <w:rFonts w:ascii="Calibri" w:hAnsi="Calibri" w:cs="Calibri"/>
                <w:b/>
                <w:i w:val="0"/>
                <w:color w:val="FFFFFF"/>
                <w:sz w:val="18"/>
              </w:rPr>
              <w:t>Objetivo</w:t>
            </w:r>
          </w:p>
        </w:tc>
        <w:tc>
          <w:tcPr>
            <w:tcW w:type="dxa" w:w="4180"/>
            <w:tcMar>
              <w:top w:w="50" w:type="dxa"/>
              <w:left w:w="70" w:type="dxa"/>
              <w:bottom w:w="50" w:type="dxa"/>
              <w:right w:w="70" w:type="dxa"/>
            </w:tcMar>
            <w:tcBorders>
              <w:top w:val="single" w:sz="4" w:space="0" w:color="0A1E3D"/>
              <w:left w:val="single" w:sz="4" w:space="0" w:color="0A1E3D"/>
              <w:bottom w:val="single" w:sz="4" w:space="0" w:color="0A1E3D"/>
              <w:right w:val="single" w:sz="4" w:space="0" w:color="0A1E3D"/>
            </w:tcBorders>
            <w:shd w:fill="0A1E3D" w:val="clear"/>
          </w:tcPr>
          <w:p>
            <w:pPr>
              <w:spacing w:after="0" w:before="0"/>
            </w:pPr>
            <w:r>
              <w:rPr>
                <w:rFonts w:ascii="Calibri" w:hAnsi="Calibri" w:cs="Calibri"/>
                <w:b/>
                <w:i w:val="0"/>
                <w:color w:val="FFFFFF"/>
                <w:sz w:val="18"/>
              </w:rPr>
              <w:t>Se necesita de usted antes de empezarlo</w:t>
            </w:r>
          </w:p>
        </w:tc>
      </w:tr>
      <w:tr>
        <w:trPr>
          <w:cantSplit/>
        </w:trPr>
        <w:tc>
          <w:tcPr>
            <w:tcW w:type="dxa" w:w="17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1</w:t>
              <w:br/>
              <w:t>30 sep – 7 oct</w:t>
            </w:r>
          </w:p>
        </w:tc>
        <w:tc>
          <w:tcPr>
            <w:tcW w:type="dxa" w:w="4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Home en inglés como producto final, más la página “En construcción”.</w:t>
            </w:r>
          </w:p>
        </w:tc>
        <w:tc>
          <w:tcPr>
            <w:tcW w:type="dxa" w:w="41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Cifras exactas. Imágenes de la Home. Acceso o formulario de boletín en GoHighLevel.</w:t>
            </w:r>
          </w:p>
        </w:tc>
      </w:tr>
      <w:tr>
        <w:trPr>
          <w:cantSplit/>
        </w:trPr>
        <w:tc>
          <w:tcPr>
            <w:tcW w:type="dxa" w:w="17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2</w:t>
            </w:r>
          </w:p>
        </w:tc>
        <w:tc>
          <w:tcPr>
            <w:tcW w:type="dxa" w:w="4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About en inglés. La historia de Rocky en Our Story. Liderazgo operativo: Efrain Duran, Jose Morales, Stacy Valentine. Sin inventar los cargos vacantes.</w:t>
            </w:r>
          </w:p>
        </w:tc>
        <w:tc>
          <w:tcPr>
            <w:tcW w:type="dxa" w:w="41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Fotos reales de esas tres personas, mínimo 800 × 800. Confirmación de cargos. Erika Roman y Formando Vidas solo como liderazgo internacional o de campo, si deben aparecer.</w:t>
            </w:r>
          </w:p>
        </w:tc>
      </w:tr>
      <w:tr>
        <w:trPr>
          <w:cantSplit/>
        </w:trPr>
        <w:tc>
          <w:tcPr>
            <w:tcW w:type="dxa" w:w="17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3</w:t>
            </w:r>
          </w:p>
        </w:tc>
        <w:tc>
          <w:tcPr>
            <w:tcW w:type="dxa" w:w="4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Get Involved y Contact en inglés. Formularios nativos de GoHighLevel, etiquetas y acuse. Sin categoría pública de Academy.</w:t>
            </w:r>
          </w:p>
        </w:tc>
        <w:tc>
          <w:tcPr>
            <w:tcW w:type="dxa" w:w="41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Correo de cada categoría. El texto de acuse que usted propuso queda incorporado, salvo que lo ajuste.</w:t>
            </w:r>
          </w:p>
        </w:tc>
      </w:tr>
      <w:tr>
        <w:trPr>
          <w:cantSplit/>
        </w:trPr>
        <w:tc>
          <w:tcPr>
            <w:tcW w:type="dxa" w:w="17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4</w:t>
            </w:r>
          </w:p>
        </w:tc>
        <w:tc>
          <w:tcPr>
            <w:tcW w:type="dxa" w:w="4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Give en inglés, página visual. Donación única y mensual al procesador cuando exista la URL. Vías complejas como consulta.</w:t>
            </w:r>
          </w:p>
        </w:tc>
        <w:tc>
          <w:tcPr>
            <w:tcW w:type="dxa" w:w="41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URLs del procesador y de los fondos designados, cuando existan. Hasta entonces, esas acciones no apuntan a un enlace falso.</w:t>
            </w:r>
          </w:p>
        </w:tc>
      </w:tr>
      <w:tr>
        <w:trPr>
          <w:cantSplit/>
        </w:trPr>
        <w:tc>
          <w:tcPr>
            <w:tcW w:type="dxa" w:w="17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5</w:t>
            </w:r>
          </w:p>
        </w:tc>
        <w:tc>
          <w:tcPr>
            <w:tcW w:type="dxa" w:w="4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Know Jesus, solo con la redacción final aprobada. Begin Discipleship solo si ya hay un recurso.</w:t>
            </w:r>
          </w:p>
        </w:tc>
        <w:tc>
          <w:tcPr>
            <w:tcW w:type="dxa" w:w="41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Texto final en inglés. La URL del recurso de discipulado, si existe.</w:t>
            </w:r>
          </w:p>
        </w:tc>
      </w:tr>
      <w:tr>
        <w:trPr>
          <w:cantSplit/>
        </w:trPr>
        <w:tc>
          <w:tcPr>
            <w:tcW w:type="dxa" w:w="17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6</w:t>
            </w:r>
          </w:p>
        </w:tc>
        <w:tc>
          <w:tcPr>
            <w:tcW w:type="dxa" w:w="4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Stories, solo con relatos verificados y permiso.</w:t>
            </w:r>
          </w:p>
        </w:tc>
        <w:tc>
          <w:tcPr>
            <w:tcW w:type="dxa" w:w="41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Cada historia aprobada, con foto y permiso. Nada se publica solo.</w:t>
            </w:r>
          </w:p>
        </w:tc>
      </w:tr>
      <w:tr>
        <w:trPr>
          <w:cantSplit/>
        </w:trPr>
        <w:tc>
          <w:tcPr>
            <w:tcW w:type="dxa" w:w="17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7</w:t>
            </w:r>
          </w:p>
        </w:tc>
        <w:tc>
          <w:tcPr>
            <w:tcW w:type="dxa" w:w="4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Privacy, Terms y Child Safeguarding.</w:t>
            </w:r>
          </w:p>
        </w:tc>
        <w:tc>
          <w:tcPr>
            <w:tcW w:type="dxa" w:w="41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Texto legal final aprobado, en inglés.</w:t>
            </w:r>
          </w:p>
        </w:tc>
      </w:tr>
      <w:tr>
        <w:trPr>
          <w:cantSplit/>
        </w:trPr>
        <w:tc>
          <w:tcPr>
            <w:tcW w:type="dxa" w:w="17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8</w:t>
            </w:r>
          </w:p>
        </w:tc>
        <w:tc>
          <w:tcPr>
            <w:tcW w:type="dxa" w:w="4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Dominio, URLs canónicas, títulos y metas ya aprobados, imagen para redes, analítica y revisión de escritorio y móvil del sitio en inglés.</w:t>
            </w:r>
          </w:p>
        </w:tc>
        <w:tc>
          <w:tcPr>
            <w:tcW w:type="dxa" w:w="41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Dominio confirmado. ID de analítica, si eligen Google Analytics 4. Lista de URLs viejas, solo las que quieran redirigir. Texto de cookies.</w:t>
            </w:r>
          </w:p>
        </w:tc>
      </w:tr>
      <w:tr>
        <w:trPr>
          <w:cantSplit/>
        </w:trPr>
        <w:tc>
          <w:tcPr>
            <w:tcW w:type="dxa" w:w="17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9</w:t>
            </w:r>
          </w:p>
        </w:tc>
        <w:tc>
          <w:tcPr>
            <w:tcW w:type="dxa" w:w="4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Español, después de que el inglés esté aprobado.</w:t>
            </w:r>
          </w:p>
        </w:tc>
        <w:tc>
          <w:tcPr>
            <w:tcW w:type="dxa" w:w="41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Aprobación del inglés. Revisión del texto en español, incluida Know Jesus.</w:t>
            </w:r>
          </w:p>
        </w:tc>
      </w:tr>
    </w:tbl>
    <w:p>
      <w:pPr>
        <w:spacing w:after="80" w:before="40"/>
      </w:pPr>
    </w:p>
    <w:p>
      <w:pPr>
        <w:spacing w:before="320" w:after="120"/>
        <w:pBdr>
          <w:bottom w:val="single" w:sz="12" w:space="1" w:color="0D47A1"/>
        </w:pBdr>
      </w:pPr>
      <w:r>
        <w:rPr>
          <w:rFonts w:ascii="Calibri" w:hAnsi="Calibri" w:cs="Calibri"/>
          <w:b/>
          <w:i w:val="0"/>
          <w:color w:val="0A1E3D"/>
          <w:sz w:val="32"/>
        </w:rPr>
        <w:t>Sprint 1 — planificación</w:t>
      </w:r>
    </w:p>
    <w:p>
      <w:pPr>
        <w:spacing w:before="240" w:after="80"/>
      </w:pPr>
      <w:r>
        <w:rPr>
          <w:rFonts w:ascii="Calibri" w:hAnsi="Calibri" w:cs="Calibri"/>
          <w:b/>
          <w:i w:val="0"/>
          <w:color w:val="0D47A1"/>
          <w:sz w:val="26"/>
        </w:rPr>
        <w:t>Meta</w:t>
      </w:r>
    </w:p>
    <w:p>
      <w:pPr>
        <w:spacing w:before="0" w:after="160" w:line="259" w:lineRule="auto"/>
      </w:pPr>
      <w:r>
        <w:rPr>
          <w:rFonts w:ascii="Calibri" w:hAnsi="Calibri" w:cs="Calibri"/>
          <w:b w:val="0"/>
          <w:i w:val="0"/>
          <w:color w:val="2B2D31"/>
          <w:sz w:val="22"/>
        </w:rPr>
        <w:t>Un visitante abre la Home en inglés y, en pocos segundos, entiende Reach. Equip. Multiply.: la misión internacional, cómo participar y cómo dar. La página se ve terminada. Lo que todavía no existe no finge estar listo.</w:t>
      </w:r>
    </w:p>
    <w:p>
      <w:pPr>
        <w:spacing w:before="240" w:after="80"/>
      </w:pPr>
      <w:r>
        <w:rPr>
          <w:rFonts w:ascii="Calibri" w:hAnsi="Calibri" w:cs="Calibri"/>
          <w:b/>
          <w:i w:val="0"/>
          <w:color w:val="0D47A1"/>
          <w:sz w:val="26"/>
        </w:rPr>
        <w:t>Historias de usuario</w:t>
      </w:r>
    </w:p>
    <w:p>
      <w:pPr>
        <w:spacing w:before="240" w:after="80"/>
      </w:pPr>
      <w:r>
        <w:rPr>
          <w:rFonts w:ascii="Calibri" w:hAnsi="Calibri" w:cs="Calibri"/>
          <w:b/>
          <w:i w:val="0"/>
          <w:color w:val="0D47A1"/>
          <w:sz w:val="26"/>
        </w:rPr>
        <w:t>1. Navegación simple</w:t>
      </w:r>
    </w:p>
    <w:p>
      <w:pPr>
        <w:spacing w:before="0" w:after="160" w:line="259" w:lineRule="auto"/>
      </w:pPr>
      <w:r>
        <w:rPr>
          <w:rFonts w:ascii="Calibri" w:hAnsi="Calibri" w:cs="Calibri"/>
          <w:b w:val="0"/>
          <w:i w:val="0"/>
          <w:color w:val="2B2D31"/>
          <w:sz w:val="22"/>
        </w:rPr>
        <w:t>Como visitante, quiero un menú HOME, ABOUT y CONTACT, con GET INVOLVED y GIVE siempre visibles, para saber de inmediato a dónde ir.</w:t>
      </w:r>
    </w:p>
    <w:p>
      <w:pPr>
        <w:spacing w:before="0" w:after="40" w:line="259" w:lineRule="auto"/>
      </w:pPr>
      <w:r>
        <w:rPr>
          <w:rFonts w:ascii="Calibri" w:hAnsi="Calibri" w:cs="Calibri"/>
          <w:b/>
          <w:i w:val="0"/>
          <w:color w:val="0A1E3D"/>
          <w:sz w:val="22"/>
        </w:rPr>
        <w:t xml:space="preserve">Terminada cuando: </w:t>
      </w:r>
      <w:r>
        <w:rPr>
          <w:rFonts w:ascii="Calibri" w:hAnsi="Calibri" w:cs="Calibri"/>
          <w:b w:val="0"/>
          <w:i w:val="0"/>
          <w:color w:val="2B2D31"/>
          <w:sz w:val="22"/>
        </w:rPr>
        <w:t>GIVE es rojo y dice GIVE. Academy, Stories y Know Jesus no están en la barra principal. En el teléfono, GIVE sigue siendo visible y táctil.</w:t>
      </w:r>
    </w:p>
    <w:p>
      <w:pPr>
        <w:spacing w:before="0" w:after="120" w:line="259" w:lineRule="auto"/>
      </w:pPr>
      <w:r>
        <w:rPr>
          <w:rFonts w:ascii="Calibri" w:hAnsi="Calibri" w:cs="Calibri"/>
          <w:b/>
          <w:i w:val="0"/>
          <w:color w:val="0A1E3D"/>
          <w:sz w:val="22"/>
        </w:rPr>
        <w:t xml:space="preserve">Se requiere de usted: </w:t>
      </w:r>
      <w:r>
        <w:rPr>
          <w:rFonts w:ascii="Calibri" w:hAnsi="Calibri" w:cs="Calibri"/>
          <w:b w:val="0"/>
          <w:i w:val="0"/>
          <w:color w:val="2B2D31"/>
          <w:sz w:val="22"/>
        </w:rPr>
        <w:t>Nada.</w:t>
      </w:r>
    </w:p>
    <w:p>
      <w:pPr>
        <w:spacing w:before="240" w:after="80"/>
      </w:pPr>
      <w:r>
        <w:rPr>
          <w:rFonts w:ascii="Calibri" w:hAnsi="Calibri" w:cs="Calibri"/>
          <w:b/>
          <w:i w:val="0"/>
          <w:color w:val="0D47A1"/>
          <w:sz w:val="26"/>
        </w:rPr>
        <w:t>2. Mensaje en segundos</w:t>
      </w:r>
    </w:p>
    <w:p>
      <w:pPr>
        <w:spacing w:before="0" w:after="160" w:line="259" w:lineRule="auto"/>
      </w:pPr>
      <w:r>
        <w:rPr>
          <w:rFonts w:ascii="Calibri" w:hAnsi="Calibri" w:cs="Calibri"/>
          <w:b w:val="0"/>
          <w:i w:val="0"/>
          <w:color w:val="2B2D31"/>
          <w:sz w:val="22"/>
        </w:rPr>
        <w:t>Como visitante, quiero entender que Jesus Generation alcanza, equipa y multiplica, para ver cómo mi participación ayuda el trabajo que ya existe.</w:t>
      </w:r>
    </w:p>
    <w:p>
      <w:pPr>
        <w:spacing w:before="0" w:after="40" w:line="259" w:lineRule="auto"/>
      </w:pPr>
      <w:r>
        <w:rPr>
          <w:rFonts w:ascii="Calibri" w:hAnsi="Calibri" w:cs="Calibri"/>
          <w:b/>
          <w:i w:val="0"/>
          <w:color w:val="0A1E3D"/>
          <w:sz w:val="22"/>
        </w:rPr>
        <w:t xml:space="preserve">Terminada cuando: </w:t>
      </w:r>
      <w:r>
        <w:rPr>
          <w:rFonts w:ascii="Calibri" w:hAnsi="Calibri" w:cs="Calibri"/>
          <w:b w:val="0"/>
          <w:i w:val="0"/>
          <w:color w:val="2B2D31"/>
          <w:sz w:val="22"/>
        </w:rPr>
        <w:t>La frase pública es Reach. Equip. Multiply. El nombre se escribe Jesus Generation. No se presenta la Academia como un catálogo público.</w:t>
      </w:r>
    </w:p>
    <w:p>
      <w:pPr>
        <w:spacing w:before="0" w:after="120" w:line="259" w:lineRule="auto"/>
      </w:pPr>
      <w:r>
        <w:rPr>
          <w:rFonts w:ascii="Calibri" w:hAnsi="Calibri" w:cs="Calibri"/>
          <w:b/>
          <w:i w:val="0"/>
          <w:color w:val="0A1E3D"/>
          <w:sz w:val="22"/>
        </w:rPr>
        <w:t xml:space="preserve">Se requiere de usted: </w:t>
      </w:r>
      <w:r>
        <w:rPr>
          <w:rFonts w:ascii="Calibri" w:hAnsi="Calibri" w:cs="Calibri"/>
          <w:b w:val="0"/>
          <w:i w:val="0"/>
          <w:color w:val="2B2D31"/>
          <w:sz w:val="22"/>
        </w:rPr>
        <w:t>Nada.</w:t>
      </w:r>
    </w:p>
    <w:p>
      <w:pPr>
        <w:spacing w:before="240" w:after="80"/>
      </w:pPr>
      <w:r>
        <w:rPr>
          <w:rFonts w:ascii="Calibri" w:hAnsi="Calibri" w:cs="Calibri"/>
          <w:b/>
          <w:i w:val="0"/>
          <w:color w:val="0D47A1"/>
          <w:sz w:val="26"/>
        </w:rPr>
        <w:t>3. Cifras reales</w:t>
      </w:r>
    </w:p>
    <w:p>
      <w:pPr>
        <w:spacing w:before="0" w:after="160" w:line="259" w:lineRule="auto"/>
      </w:pPr>
      <w:r>
        <w:rPr>
          <w:rFonts w:ascii="Calibri" w:hAnsi="Calibri" w:cs="Calibri"/>
          <w:b w:val="0"/>
          <w:i w:val="0"/>
          <w:color w:val="2B2D31"/>
          <w:sz w:val="22"/>
        </w:rPr>
        <w:t>Como visitante, quiero ver el alcance real del ministerio en la portada, para confiar sin sentir que una sola persona ya no importa.</w:t>
      </w:r>
    </w:p>
    <w:p>
      <w:pPr>
        <w:spacing w:before="0" w:after="40" w:line="259" w:lineRule="auto"/>
      </w:pPr>
      <w:r>
        <w:rPr>
          <w:rFonts w:ascii="Calibri" w:hAnsi="Calibri" w:cs="Calibri"/>
          <w:b/>
          <w:i w:val="0"/>
          <w:color w:val="0A1E3D"/>
          <w:sz w:val="22"/>
        </w:rPr>
        <w:t xml:space="preserve">Terminada cuando: </w:t>
      </w:r>
      <w:r>
        <w:rPr>
          <w:rFonts w:ascii="Calibri" w:hAnsi="Calibri" w:cs="Calibri"/>
          <w:b w:val="0"/>
          <w:i w:val="0"/>
          <w:color w:val="2B2D31"/>
          <w:sz w:val="22"/>
        </w:rPr>
        <w:t>Solo aparecen las cifras exactas de Erika. No hay redondeos. El bloque grande está en la Home y no se copia en otras páginas en este sprint.</w:t>
      </w:r>
    </w:p>
    <w:p>
      <w:pPr>
        <w:spacing w:before="0" w:after="120" w:line="259" w:lineRule="auto"/>
      </w:pPr>
      <w:r>
        <w:rPr>
          <w:rFonts w:ascii="Calibri" w:hAnsi="Calibri" w:cs="Calibri"/>
          <w:b/>
          <w:i w:val="0"/>
          <w:color w:val="0A1E3D"/>
          <w:sz w:val="22"/>
        </w:rPr>
        <w:t xml:space="preserve">Se requiere de usted: </w:t>
      </w:r>
      <w:r>
        <w:rPr>
          <w:rFonts w:ascii="Calibri" w:hAnsi="Calibri" w:cs="Calibri"/>
          <w:b w:val="0"/>
          <w:i w:val="0"/>
          <w:color w:val="2B2D31"/>
          <w:sz w:val="22"/>
        </w:rPr>
        <w:t>Las tres cifras, y cualquier otra que deba verse en la barra, el viernes 2 de octubre.</w:t>
      </w:r>
    </w:p>
    <w:p>
      <w:pPr>
        <w:spacing w:before="240" w:after="80"/>
      </w:pPr>
      <w:r>
        <w:rPr>
          <w:rFonts w:ascii="Calibri" w:hAnsi="Calibri" w:cs="Calibri"/>
          <w:b/>
          <w:i w:val="0"/>
          <w:color w:val="0D47A1"/>
          <w:sz w:val="26"/>
        </w:rPr>
        <w:t>4. Sin Academia pública</w:t>
      </w:r>
    </w:p>
    <w:p>
      <w:pPr>
        <w:spacing w:before="0" w:after="160" w:line="259" w:lineRule="auto"/>
      </w:pPr>
      <w:r>
        <w:rPr>
          <w:rFonts w:ascii="Calibri" w:hAnsi="Calibri" w:cs="Calibri"/>
          <w:b w:val="0"/>
          <w:i w:val="0"/>
          <w:color w:val="2B2D31"/>
          <w:sz w:val="22"/>
        </w:rPr>
        <w:t>Como responsable del ministerio, quiero que la Academia no se promocione en el sitio público, para no prometer cursos, precios o acceso que aún no están listos.</w:t>
      </w:r>
    </w:p>
    <w:p>
      <w:pPr>
        <w:spacing w:before="0" w:after="40" w:line="259" w:lineRule="auto"/>
      </w:pPr>
      <w:r>
        <w:rPr>
          <w:rFonts w:ascii="Calibri" w:hAnsi="Calibri" w:cs="Calibri"/>
          <w:b/>
          <w:i w:val="0"/>
          <w:color w:val="0A1E3D"/>
          <w:sz w:val="22"/>
        </w:rPr>
        <w:t xml:space="preserve">Terminada cuando: </w:t>
      </w:r>
      <w:r>
        <w:rPr>
          <w:rFonts w:ascii="Calibri" w:hAnsi="Calibri" w:cs="Calibri"/>
          <w:b w:val="0"/>
          <w:i w:val="0"/>
          <w:color w:val="2B2D31"/>
          <w:sz w:val="22"/>
        </w:rPr>
        <w:t>La Academia sale del menú, del bloque de cifras y de la sección pública de la Home. No hay botón de login ni de catálogo.</w:t>
      </w:r>
    </w:p>
    <w:p>
      <w:pPr>
        <w:spacing w:before="0" w:after="120" w:line="259" w:lineRule="auto"/>
      </w:pPr>
      <w:r>
        <w:rPr>
          <w:rFonts w:ascii="Calibri" w:hAnsi="Calibri" w:cs="Calibri"/>
          <w:b/>
          <w:i w:val="0"/>
          <w:color w:val="0A1E3D"/>
          <w:sz w:val="22"/>
        </w:rPr>
        <w:t xml:space="preserve">Se requiere de usted: </w:t>
      </w:r>
      <w:r>
        <w:rPr>
          <w:rFonts w:ascii="Calibri" w:hAnsi="Calibri" w:cs="Calibri"/>
          <w:b w:val="0"/>
          <w:i w:val="0"/>
          <w:color w:val="2B2D31"/>
          <w:sz w:val="22"/>
        </w:rPr>
        <w:t>Nada. Esta decisión ya está tomada.</w:t>
      </w:r>
    </w:p>
    <w:p>
      <w:pPr>
        <w:spacing w:before="240" w:after="80"/>
      </w:pPr>
      <w:r>
        <w:rPr>
          <w:rFonts w:ascii="Calibri" w:hAnsi="Calibri" w:cs="Calibri"/>
          <w:b/>
          <w:i w:val="0"/>
          <w:color w:val="0D47A1"/>
          <w:sz w:val="26"/>
        </w:rPr>
        <w:t>5. Sin testimonios inventados</w:t>
      </w:r>
    </w:p>
    <w:p>
      <w:pPr>
        <w:spacing w:before="0" w:after="160" w:line="259" w:lineRule="auto"/>
      </w:pPr>
      <w:r>
        <w:rPr>
          <w:rFonts w:ascii="Calibri" w:hAnsi="Calibri" w:cs="Calibri"/>
          <w:b w:val="0"/>
          <w:i w:val="0"/>
          <w:color w:val="2B2D31"/>
          <w:sz w:val="22"/>
        </w:rPr>
        <w:t>Como responsable del ministerio, quiero que la Home no muestre nombres ni citas no verificadas, para no publicar historias de menores o de personas que no aprobaron.</w:t>
      </w:r>
    </w:p>
    <w:p>
      <w:pPr>
        <w:spacing w:before="0" w:after="40" w:line="259" w:lineRule="auto"/>
      </w:pPr>
      <w:r>
        <w:rPr>
          <w:rFonts w:ascii="Calibri" w:hAnsi="Calibri" w:cs="Calibri"/>
          <w:b/>
          <w:i w:val="0"/>
          <w:color w:val="0A1E3D"/>
          <w:sz w:val="22"/>
        </w:rPr>
        <w:t xml:space="preserve">Terminada cuando: </w:t>
      </w:r>
      <w:r>
        <w:rPr>
          <w:rFonts w:ascii="Calibri" w:hAnsi="Calibri" w:cs="Calibri"/>
          <w:b w:val="0"/>
          <w:i w:val="0"/>
          <w:color w:val="2B2D31"/>
          <w:sz w:val="22"/>
        </w:rPr>
        <w:t>Se retira la cita provisional de la Home. No se sustituye por otro testimonio inventado.</w:t>
      </w:r>
    </w:p>
    <w:p>
      <w:pPr>
        <w:spacing w:before="0" w:after="120" w:line="259" w:lineRule="auto"/>
      </w:pPr>
      <w:r>
        <w:rPr>
          <w:rFonts w:ascii="Calibri" w:hAnsi="Calibri" w:cs="Calibri"/>
          <w:b/>
          <w:i w:val="0"/>
          <w:color w:val="0A1E3D"/>
          <w:sz w:val="22"/>
        </w:rPr>
        <w:t xml:space="preserve">Se requiere de usted: </w:t>
      </w:r>
      <w:r>
        <w:rPr>
          <w:rFonts w:ascii="Calibri" w:hAnsi="Calibri" w:cs="Calibri"/>
          <w:b w:val="0"/>
          <w:i w:val="0"/>
          <w:color w:val="2B2D31"/>
          <w:sz w:val="22"/>
        </w:rPr>
        <w:t>Nada para este sprint. Las historias reales entran en el Sprint 6.</w:t>
      </w:r>
    </w:p>
    <w:p>
      <w:pPr>
        <w:spacing w:before="240" w:after="80"/>
      </w:pPr>
      <w:r>
        <w:rPr>
          <w:rFonts w:ascii="Calibri" w:hAnsi="Calibri" w:cs="Calibri"/>
          <w:b/>
          <w:i w:val="0"/>
          <w:color w:val="0D47A1"/>
          <w:sz w:val="26"/>
        </w:rPr>
        <w:t>6. Enlaces honestos</w:t>
      </w:r>
    </w:p>
    <w:p>
      <w:pPr>
        <w:spacing w:before="0" w:after="160" w:line="259" w:lineRule="auto"/>
      </w:pPr>
      <w:r>
        <w:rPr>
          <w:rFonts w:ascii="Calibri" w:hAnsi="Calibri" w:cs="Calibri"/>
          <w:b w:val="0"/>
          <w:i w:val="0"/>
          <w:color w:val="2B2D31"/>
          <w:sz w:val="22"/>
        </w:rPr>
        <w:t>Como visitante, quiero que un botón me lleve a una página real o me diga con claridad que esa parte sigue en construcción.</w:t>
      </w:r>
    </w:p>
    <w:p>
      <w:pPr>
        <w:spacing w:before="0" w:after="40" w:line="259" w:lineRule="auto"/>
      </w:pPr>
      <w:r>
        <w:rPr>
          <w:rFonts w:ascii="Calibri" w:hAnsi="Calibri" w:cs="Calibri"/>
          <w:b/>
          <w:i w:val="0"/>
          <w:color w:val="0A1E3D"/>
          <w:sz w:val="22"/>
        </w:rPr>
        <w:t xml:space="preserve">Terminada cuando: </w:t>
      </w:r>
      <w:r>
        <w:rPr>
          <w:rFonts w:ascii="Calibri" w:hAnsi="Calibri" w:cs="Calibri"/>
          <w:b w:val="0"/>
          <w:i w:val="0"/>
          <w:color w:val="2B2D31"/>
          <w:sz w:val="22"/>
        </w:rPr>
        <w:t>About, Contact, Get Involved, Give, Stories y Know Jesus abren una página “En construcción”, con el mismo encabezado. No hay pagos ficticios ni enlaces rotos. Los anclas de la propia Home siguen en la Home.</w:t>
      </w:r>
    </w:p>
    <w:p>
      <w:pPr>
        <w:spacing w:before="0" w:after="120" w:line="259" w:lineRule="auto"/>
      </w:pPr>
      <w:r>
        <w:rPr>
          <w:rFonts w:ascii="Calibri" w:hAnsi="Calibri" w:cs="Calibri"/>
          <w:b/>
          <w:i w:val="0"/>
          <w:color w:val="0A1E3D"/>
          <w:sz w:val="22"/>
        </w:rPr>
        <w:t xml:space="preserve">Se requiere de usted: </w:t>
      </w:r>
      <w:r>
        <w:rPr>
          <w:rFonts w:ascii="Calibri" w:hAnsi="Calibri" w:cs="Calibri"/>
          <w:b w:val="0"/>
          <w:i w:val="0"/>
          <w:color w:val="2B2D31"/>
          <w:sz w:val="22"/>
        </w:rPr>
        <w:t>Nada.</w:t>
      </w:r>
    </w:p>
    <w:p>
      <w:pPr>
        <w:spacing w:before="240" w:after="80"/>
      </w:pPr>
      <w:r>
        <w:rPr>
          <w:rFonts w:ascii="Calibri" w:hAnsi="Calibri" w:cs="Calibri"/>
          <w:b/>
          <w:i w:val="0"/>
          <w:color w:val="0D47A1"/>
          <w:sz w:val="26"/>
        </w:rPr>
        <w:t>7. Boletín con consentimiento</w:t>
      </w:r>
    </w:p>
    <w:p>
      <w:pPr>
        <w:spacing w:before="0" w:after="160" w:line="259" w:lineRule="auto"/>
      </w:pPr>
      <w:r>
        <w:rPr>
          <w:rFonts w:ascii="Calibri" w:hAnsi="Calibri" w:cs="Calibri"/>
          <w:b w:val="0"/>
          <w:i w:val="0"/>
          <w:color w:val="2B2D31"/>
          <w:sz w:val="22"/>
        </w:rPr>
        <w:t>Como visitante, quiero dejar mi correo solo si acepto recibir el boletín, para que una consulta no me inscriba sola.</w:t>
      </w:r>
    </w:p>
    <w:p>
      <w:pPr>
        <w:spacing w:before="0" w:after="40" w:line="259" w:lineRule="auto"/>
      </w:pPr>
      <w:r>
        <w:rPr>
          <w:rFonts w:ascii="Calibri" w:hAnsi="Calibri" w:cs="Calibri"/>
          <w:b/>
          <w:i w:val="0"/>
          <w:color w:val="0A1E3D"/>
          <w:sz w:val="22"/>
        </w:rPr>
        <w:t xml:space="preserve">Terminada cuando: </w:t>
      </w:r>
      <w:r>
        <w:rPr>
          <w:rFonts w:ascii="Calibri" w:hAnsi="Calibri" w:cs="Calibri"/>
          <w:b w:val="0"/>
          <w:i w:val="0"/>
          <w:color w:val="2B2D31"/>
          <w:sz w:val="22"/>
        </w:rPr>
        <w:t>Formulario nativo de GoHighLevel. Campo de correo. Casilla de consentimiento aparte. No hay un envío simulado.</w:t>
      </w:r>
    </w:p>
    <w:p>
      <w:pPr>
        <w:spacing w:before="0" w:after="120" w:line="259" w:lineRule="auto"/>
      </w:pPr>
      <w:r>
        <w:rPr>
          <w:rFonts w:ascii="Calibri" w:hAnsi="Calibri" w:cs="Calibri"/>
          <w:b/>
          <w:i w:val="0"/>
          <w:color w:val="0A1E3D"/>
          <w:sz w:val="22"/>
        </w:rPr>
        <w:t xml:space="preserve">Se requiere de usted: </w:t>
      </w:r>
      <w:r>
        <w:rPr>
          <w:rFonts w:ascii="Calibri" w:hAnsi="Calibri" w:cs="Calibri"/>
          <w:b w:val="0"/>
          <w:i w:val="0"/>
          <w:color w:val="2B2D31"/>
          <w:sz w:val="22"/>
        </w:rPr>
        <w:t>Acceso a GoHighLevel, o el formulario nativo ya creado, el lunes 5 de octubre.</w:t>
      </w:r>
    </w:p>
    <w:p>
      <w:pPr>
        <w:spacing w:before="240" w:after="80"/>
      </w:pPr>
      <w:r>
        <w:rPr>
          <w:rFonts w:ascii="Calibri" w:hAnsi="Calibri" w:cs="Calibri"/>
          <w:b/>
          <w:i w:val="0"/>
          <w:color w:val="0D47A1"/>
          <w:sz w:val="26"/>
        </w:rPr>
        <w:t>8. Imágenes nítidas</w:t>
      </w:r>
    </w:p>
    <w:p>
      <w:pPr>
        <w:spacing w:before="0" w:after="160" w:line="259" w:lineRule="auto"/>
      </w:pPr>
      <w:r>
        <w:rPr>
          <w:rFonts w:ascii="Calibri" w:hAnsi="Calibri" w:cs="Calibri"/>
          <w:b w:val="0"/>
          <w:i w:val="0"/>
          <w:color w:val="2B2D31"/>
          <w:sz w:val="22"/>
        </w:rPr>
        <w:t>Como visitante, quiero ver fotografías nítidas en el escritorio y en el teléfono, para reconocer el ministerio con dignidad.</w:t>
      </w:r>
    </w:p>
    <w:p>
      <w:pPr>
        <w:spacing w:before="0" w:after="40" w:line="259" w:lineRule="auto"/>
      </w:pPr>
      <w:r>
        <w:rPr>
          <w:rFonts w:ascii="Calibri" w:hAnsi="Calibri" w:cs="Calibri"/>
          <w:b/>
          <w:i w:val="0"/>
          <w:color w:val="0A1E3D"/>
          <w:sz w:val="22"/>
        </w:rPr>
        <w:t xml:space="preserve">Terminada cuando: </w:t>
      </w:r>
      <w:r>
        <w:rPr>
          <w:rFonts w:ascii="Calibri" w:hAnsi="Calibri" w:cs="Calibri"/>
          <w:b w:val="0"/>
          <w:i w:val="0"/>
          <w:color w:val="2B2D31"/>
          <w:sz w:val="22"/>
        </w:rPr>
        <w:t>Cada foto de la Home usa el archivo grande, no un recorte de 320 píxeles. Cada imagen significativa tiene texto alternativo. No se publica una foto de un menor identificable sin permiso. Las imágenes generadas no se presentan como participantes reales.</w:t>
      </w:r>
    </w:p>
    <w:p>
      <w:pPr>
        <w:spacing w:before="0" w:after="120" w:line="259" w:lineRule="auto"/>
      </w:pPr>
      <w:r>
        <w:rPr>
          <w:rFonts w:ascii="Calibri" w:hAnsi="Calibri" w:cs="Calibri"/>
          <w:b/>
          <w:i w:val="0"/>
          <w:color w:val="0A1E3D"/>
          <w:sz w:val="22"/>
        </w:rPr>
        <w:t xml:space="preserve">Se requiere de usted: </w:t>
      </w:r>
      <w:r>
        <w:rPr>
          <w:rFonts w:ascii="Calibri" w:hAnsi="Calibri" w:cs="Calibri"/>
          <w:b w:val="0"/>
          <w:i w:val="0"/>
          <w:color w:val="2B2D31"/>
          <w:sz w:val="22"/>
        </w:rPr>
        <w:t>Los archivos de la tabla de medidas, el lunes 5 de octubre.</w:t>
      </w:r>
    </w:p>
    <w:p>
      <w:pPr>
        <w:spacing w:before="240" w:after="80"/>
      </w:pPr>
      <w:r>
        <w:rPr>
          <w:rFonts w:ascii="Calibri" w:hAnsi="Calibri" w:cs="Calibri"/>
          <w:b/>
          <w:i w:val="0"/>
          <w:color w:val="0D47A1"/>
          <w:sz w:val="26"/>
        </w:rPr>
        <w:t>9. Pie de página sin legales vacíos</w:t>
      </w:r>
    </w:p>
    <w:p>
      <w:pPr>
        <w:spacing w:before="0" w:after="160" w:line="259" w:lineRule="auto"/>
      </w:pPr>
      <w:r>
        <w:rPr>
          <w:rFonts w:ascii="Calibri" w:hAnsi="Calibri" w:cs="Calibri"/>
          <w:b w:val="0"/>
          <w:i w:val="0"/>
          <w:color w:val="2B2D31"/>
          <w:sz w:val="22"/>
        </w:rPr>
        <w:t>Como visitante, no quiero entrar a una página legal que diga que el texto está pendiente.</w:t>
      </w:r>
    </w:p>
    <w:p>
      <w:pPr>
        <w:spacing w:before="0" w:after="40" w:line="259" w:lineRule="auto"/>
      </w:pPr>
      <w:r>
        <w:rPr>
          <w:rFonts w:ascii="Calibri" w:hAnsi="Calibri" w:cs="Calibri"/>
          <w:b/>
          <w:i w:val="0"/>
          <w:color w:val="0A1E3D"/>
          <w:sz w:val="22"/>
        </w:rPr>
        <w:t xml:space="preserve">Terminada cuando: </w:t>
      </w:r>
      <w:r>
        <w:rPr>
          <w:rFonts w:ascii="Calibri" w:hAnsi="Calibri" w:cs="Calibri"/>
          <w:b w:val="0"/>
          <w:i w:val="0"/>
          <w:color w:val="2B2D31"/>
          <w:sz w:val="22"/>
        </w:rPr>
        <w:t>Privacy, Terms y Child Safeguarding no aparecen como enlaces hasta tener el texto aprobado.</w:t>
      </w:r>
    </w:p>
    <w:p>
      <w:pPr>
        <w:spacing w:before="0" w:after="120" w:line="259" w:lineRule="auto"/>
      </w:pPr>
      <w:r>
        <w:rPr>
          <w:rFonts w:ascii="Calibri" w:hAnsi="Calibri" w:cs="Calibri"/>
          <w:b/>
          <w:i w:val="0"/>
          <w:color w:val="0A1E3D"/>
          <w:sz w:val="22"/>
        </w:rPr>
        <w:t xml:space="preserve">Se requiere de usted: </w:t>
      </w:r>
      <w:r>
        <w:rPr>
          <w:rFonts w:ascii="Calibri" w:hAnsi="Calibri" w:cs="Calibri"/>
          <w:b w:val="0"/>
          <w:i w:val="0"/>
          <w:color w:val="2B2D31"/>
          <w:sz w:val="22"/>
        </w:rPr>
        <w:t>Nada en este sprint.</w:t>
      </w:r>
    </w:p>
    <w:p>
      <w:pPr>
        <w:spacing w:before="240" w:after="80"/>
      </w:pPr>
      <w:r>
        <w:rPr>
          <w:rFonts w:ascii="Calibri" w:hAnsi="Calibri" w:cs="Calibri"/>
          <w:b/>
          <w:i w:val="0"/>
          <w:color w:val="0D47A1"/>
          <w:sz w:val="26"/>
        </w:rPr>
        <w:t>10. Lista para su revisión</w:t>
      </w:r>
    </w:p>
    <w:p>
      <w:pPr>
        <w:spacing w:before="0" w:after="160" w:line="259" w:lineRule="auto"/>
      </w:pPr>
      <w:r>
        <w:rPr>
          <w:rFonts w:ascii="Calibri" w:hAnsi="Calibri" w:cs="Calibri"/>
          <w:b w:val="0"/>
          <w:i w:val="0"/>
          <w:color w:val="2B2D31"/>
          <w:sz w:val="22"/>
        </w:rPr>
        <w:t>Como responsable del ministerio, quiero revisar la Home en inglés en escritorio y en teléfono, para aprobarla o pedir cambios concretos.</w:t>
      </w:r>
    </w:p>
    <w:p>
      <w:pPr>
        <w:spacing w:before="0" w:after="40" w:line="259" w:lineRule="auto"/>
      </w:pPr>
      <w:r>
        <w:rPr>
          <w:rFonts w:ascii="Calibri" w:hAnsi="Calibri" w:cs="Calibri"/>
          <w:b/>
          <w:i w:val="0"/>
          <w:color w:val="0A1E3D"/>
          <w:sz w:val="22"/>
        </w:rPr>
        <w:t xml:space="preserve">Terminada cuando: </w:t>
      </w:r>
      <w:r>
        <w:rPr>
          <w:rFonts w:ascii="Calibri" w:hAnsi="Calibri" w:cs="Calibri"/>
          <w:b w:val="0"/>
          <w:i w:val="0"/>
          <w:color w:val="2B2D31"/>
          <w:sz w:val="22"/>
        </w:rPr>
        <w:t>Se envía el enlace de revisión el 7 de octubre. La página no se publica al dominio público en este sprint.</w:t>
      </w:r>
    </w:p>
    <w:p>
      <w:pPr>
        <w:spacing w:before="0" w:after="120" w:line="259" w:lineRule="auto"/>
      </w:pPr>
      <w:r>
        <w:rPr>
          <w:rFonts w:ascii="Calibri" w:hAnsi="Calibri" w:cs="Calibri"/>
          <w:b/>
          <w:i w:val="0"/>
          <w:color w:val="0A1E3D"/>
          <w:sz w:val="22"/>
        </w:rPr>
        <w:t xml:space="preserve">Se requiere de usted: </w:t>
      </w:r>
      <w:r>
        <w:rPr>
          <w:rFonts w:ascii="Calibri" w:hAnsi="Calibri" w:cs="Calibri"/>
          <w:b w:val="0"/>
          <w:i w:val="0"/>
          <w:color w:val="2B2D31"/>
          <w:sz w:val="22"/>
        </w:rPr>
        <w:t>Su revisión el martes 7 de octubre.</w:t>
      </w:r>
    </w:p>
    <w:p>
      <w:pPr>
        <w:spacing w:before="240" w:after="80"/>
      </w:pPr>
      <w:r>
        <w:rPr>
          <w:rFonts w:ascii="Calibri" w:hAnsi="Calibri" w:cs="Calibri"/>
          <w:b/>
          <w:i w:val="0"/>
          <w:color w:val="0D47A1"/>
          <w:sz w:val="26"/>
        </w:rPr>
        <w:t>Definición de terminado del Sprint 1</w:t>
      </w:r>
    </w:p>
    <w:p>
      <w:pPr>
        <w:spacing w:after="60" w:before="0"/>
        <w:ind w:left="403" w:hanging="216"/>
      </w:pPr>
      <w:r>
        <w:rPr>
          <w:rFonts w:ascii="Calibri" w:hAnsi="Calibri" w:cs="Calibri"/>
          <w:b w:val="0"/>
          <w:i w:val="0"/>
          <w:color w:val="2B2D31"/>
          <w:sz w:val="22"/>
        </w:rPr>
        <w:t>•  La Home en inglés cumple las diez historias.</w:t>
      </w:r>
    </w:p>
    <w:p>
      <w:pPr>
        <w:spacing w:after="60" w:before="0"/>
        <w:ind w:left="403" w:hanging="216"/>
      </w:pPr>
      <w:r>
        <w:rPr>
          <w:rFonts w:ascii="Calibri" w:hAnsi="Calibri" w:cs="Calibri"/>
          <w:b w:val="0"/>
          <w:i w:val="0"/>
          <w:color w:val="2B2D31"/>
          <w:sz w:val="22"/>
        </w:rPr>
        <w:t>•  No queda texto de prueba, cita no verificada, enlace a la Academia pública, ni aviso de “contenido legal pendiente”.</w:t>
      </w:r>
    </w:p>
    <w:p>
      <w:pPr>
        <w:spacing w:after="60" w:before="0"/>
        <w:ind w:left="403" w:hanging="216"/>
      </w:pPr>
      <w:r>
        <w:rPr>
          <w:rFonts w:ascii="Calibri" w:hAnsi="Calibri" w:cs="Calibri"/>
          <w:b w:val="0"/>
          <w:i w:val="0"/>
          <w:color w:val="2B2D31"/>
          <w:sz w:val="22"/>
        </w:rPr>
        <w:t>•  Escritorio y móvil se revisan antes de enviarle el enlace.</w:t>
      </w:r>
    </w:p>
    <w:p>
      <w:pPr>
        <w:spacing w:after="60" w:before="0"/>
        <w:ind w:left="403" w:hanging="216"/>
      </w:pPr>
      <w:r>
        <w:rPr>
          <w:rFonts w:ascii="Calibri" w:hAnsi="Calibri" w:cs="Calibri"/>
          <w:b w:val="0"/>
          <w:i w:val="0"/>
          <w:color w:val="2B2D31"/>
          <w:sz w:val="22"/>
        </w:rPr>
        <w:t>•  El enlace es de revisión, no de publicación.</w:t>
      </w:r>
    </w:p>
    <w:p>
      <w:pPr>
        <w:spacing w:before="320" w:after="120"/>
        <w:pBdr>
          <w:bottom w:val="single" w:sz="12" w:space="1" w:color="0D47A1"/>
        </w:pBdr>
      </w:pPr>
      <w:r>
        <w:rPr>
          <w:rFonts w:ascii="Calibri" w:hAnsi="Calibri" w:cs="Calibri"/>
          <w:b/>
          <w:i w:val="0"/>
          <w:color w:val="0A1E3D"/>
          <w:sz w:val="32"/>
        </w:rPr>
        <w:t>Medidas de imagen para la Home</w:t>
      </w:r>
    </w:p>
    <w:p>
      <w:pPr>
        <w:spacing w:before="0" w:after="160" w:line="259" w:lineRule="auto"/>
      </w:pPr>
      <w:r>
        <w:rPr>
          <w:rFonts w:ascii="Calibri" w:hAnsi="Calibri" w:cs="Calibri"/>
          <w:b w:val="0"/>
          <w:i w:val="0"/>
          <w:color w:val="2B2D31"/>
          <w:sz w:val="22"/>
        </w:rPr>
        <w:t>Estas son las medidas para exportar una sola vez. Formato JPG o PNG. No hace falta ampliar un archivo pequeño: se recrea en este tamaño. Si una escena incluye un menor identificable, confirme el permiso antes de enviarla.</w:t>
      </w:r>
    </w:p>
    <w:tbl>
      <w:tblPr>
        <w:tblW w:type="auto" w:w="0"/>
        <w:jc w:val="center"/>
        <w:tblLayout w:type="fixed"/>
        <w:tblLook w:firstColumn="1" w:firstRow="1" w:lastColumn="0" w:lastRow="0" w:noHBand="0" w:noVBand="1" w:val="04A0"/>
        <w:tblW w:w="10080" w:type="dxa"/>
        <w:tblLayout w:type="fixed"/>
      </w:tblPr>
      <w:tblGrid>
        <w:gridCol w:w="2400"/>
        <w:gridCol w:w="2100"/>
        <w:gridCol w:w="1400"/>
        <w:gridCol w:w="4180"/>
      </w:tblGrid>
      <w:tr>
        <w:trPr>
          <w:cantSplit/>
        </w:trPr>
        <w:tc>
          <w:tcPr>
            <w:tcW w:type="dxa" w:w="2400"/>
            <w:tcMar>
              <w:top w:w="50" w:type="dxa"/>
              <w:left w:w="70" w:type="dxa"/>
              <w:bottom w:w="50" w:type="dxa"/>
              <w:right w:w="70" w:type="dxa"/>
            </w:tcMar>
            <w:tcBorders>
              <w:top w:val="single" w:sz="4" w:space="0" w:color="0A1E3D"/>
              <w:left w:val="single" w:sz="4" w:space="0" w:color="0A1E3D"/>
              <w:bottom w:val="single" w:sz="4" w:space="0" w:color="0A1E3D"/>
              <w:right w:val="single" w:sz="4" w:space="0" w:color="0A1E3D"/>
            </w:tcBorders>
            <w:shd w:fill="0A1E3D" w:val="clear"/>
          </w:tcPr>
          <w:p>
            <w:pPr>
              <w:spacing w:after="0" w:before="0"/>
            </w:pPr>
            <w:r>
              <w:rPr>
                <w:rFonts w:ascii="Calibri" w:hAnsi="Calibri" w:cs="Calibri"/>
                <w:b/>
                <w:i w:val="0"/>
                <w:color w:val="FFFFFF"/>
                <w:sz w:val="18"/>
              </w:rPr>
              <w:t>Ubicación en la Home</w:t>
            </w:r>
          </w:p>
        </w:tc>
        <w:tc>
          <w:tcPr>
            <w:tcW w:type="dxa" w:w="2100"/>
            <w:tcMar>
              <w:top w:w="50" w:type="dxa"/>
              <w:left w:w="70" w:type="dxa"/>
              <w:bottom w:w="50" w:type="dxa"/>
              <w:right w:w="70" w:type="dxa"/>
            </w:tcMar>
            <w:tcBorders>
              <w:top w:val="single" w:sz="4" w:space="0" w:color="0A1E3D"/>
              <w:left w:val="single" w:sz="4" w:space="0" w:color="0A1E3D"/>
              <w:bottom w:val="single" w:sz="4" w:space="0" w:color="0A1E3D"/>
              <w:right w:val="single" w:sz="4" w:space="0" w:color="0A1E3D"/>
            </w:tcBorders>
            <w:shd w:fill="0A1E3D" w:val="clear"/>
          </w:tcPr>
          <w:p>
            <w:pPr>
              <w:spacing w:after="0" w:before="0"/>
            </w:pPr>
            <w:r>
              <w:rPr>
                <w:rFonts w:ascii="Calibri" w:hAnsi="Calibri" w:cs="Calibri"/>
                <w:b/>
                <w:i w:val="0"/>
                <w:color w:val="FFFFFF"/>
                <w:sz w:val="18"/>
              </w:rPr>
              <w:t>Medida</w:t>
            </w:r>
          </w:p>
        </w:tc>
        <w:tc>
          <w:tcPr>
            <w:tcW w:type="dxa" w:w="1400"/>
            <w:tcMar>
              <w:top w:w="50" w:type="dxa"/>
              <w:left w:w="70" w:type="dxa"/>
              <w:bottom w:w="50" w:type="dxa"/>
              <w:right w:w="70" w:type="dxa"/>
            </w:tcMar>
            <w:tcBorders>
              <w:top w:val="single" w:sz="4" w:space="0" w:color="0A1E3D"/>
              <w:left w:val="single" w:sz="4" w:space="0" w:color="0A1E3D"/>
              <w:bottom w:val="single" w:sz="4" w:space="0" w:color="0A1E3D"/>
              <w:right w:val="single" w:sz="4" w:space="0" w:color="0A1E3D"/>
            </w:tcBorders>
            <w:shd w:fill="0A1E3D" w:val="clear"/>
          </w:tcPr>
          <w:p>
            <w:pPr>
              <w:spacing w:after="0" w:before="0"/>
            </w:pPr>
            <w:r>
              <w:rPr>
                <w:rFonts w:ascii="Calibri" w:hAnsi="Calibri" w:cs="Calibri"/>
                <w:b/>
                <w:i w:val="0"/>
                <w:color w:val="FFFFFF"/>
                <w:sz w:val="18"/>
              </w:rPr>
              <w:t>Proporción</w:t>
            </w:r>
          </w:p>
        </w:tc>
        <w:tc>
          <w:tcPr>
            <w:tcW w:type="dxa" w:w="4180"/>
            <w:tcMar>
              <w:top w:w="50" w:type="dxa"/>
              <w:left w:w="70" w:type="dxa"/>
              <w:bottom w:w="50" w:type="dxa"/>
              <w:right w:w="70" w:type="dxa"/>
            </w:tcMar>
            <w:tcBorders>
              <w:top w:val="single" w:sz="4" w:space="0" w:color="0A1E3D"/>
              <w:left w:val="single" w:sz="4" w:space="0" w:color="0A1E3D"/>
              <w:bottom w:val="single" w:sz="4" w:space="0" w:color="0A1E3D"/>
              <w:right w:val="single" w:sz="4" w:space="0" w:color="0A1E3D"/>
            </w:tcBorders>
            <w:shd w:fill="0A1E3D" w:val="clear"/>
          </w:tcPr>
          <w:p>
            <w:pPr>
              <w:spacing w:after="0" w:before="0"/>
            </w:pPr>
            <w:r>
              <w:rPr>
                <w:rFonts w:ascii="Calibri" w:hAnsi="Calibri" w:cs="Calibri"/>
                <w:b/>
                <w:i w:val="0"/>
                <w:color w:val="FFFFFF"/>
                <w:sz w:val="18"/>
              </w:rPr>
              <w:t>Notas</w:t>
            </w:r>
          </w:p>
        </w:tc>
      </w:tr>
      <w:tr>
        <w:trPr>
          <w:cantSplit/>
        </w:trPr>
        <w:tc>
          <w:tcPr>
            <w:tcW w:type="dxa" w:w="24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Hero principal</w:t>
            </w:r>
          </w:p>
        </w:tc>
        <w:tc>
          <w:tcPr>
            <w:tcW w:type="dxa" w:w="21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3200 × 1800 px</w:t>
            </w:r>
          </w:p>
        </w:tc>
        <w:tc>
          <w:tcPr>
            <w:tcW w:type="dxa" w:w="14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16:9</w:t>
            </w:r>
          </w:p>
        </w:tc>
        <w:tc>
          <w:tcPr>
            <w:tcW w:type="dxa" w:w="41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Horizontal. Rostros visibles. Una escena distinta de las demás páginas.</w:t>
            </w:r>
          </w:p>
        </w:tc>
      </w:tr>
      <w:tr>
        <w:trPr>
          <w:cantSplit/>
        </w:trPr>
        <w:tc>
          <w:tcPr>
            <w:tcW w:type="dxa" w:w="24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Foto de “por qué importa”</w:t>
            </w:r>
          </w:p>
        </w:tc>
        <w:tc>
          <w:tcPr>
            <w:tcW w:type="dxa" w:w="21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1600 × 2000 px</w:t>
            </w:r>
          </w:p>
        </w:tc>
        <w:tc>
          <w:tcPr>
            <w:tcW w:type="dxa" w:w="14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4:5</w:t>
            </w:r>
          </w:p>
        </w:tc>
        <w:tc>
          <w:tcPr>
            <w:tcW w:type="dxa" w:w="41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Vertical, junto al texto.</w:t>
            </w:r>
          </w:p>
        </w:tc>
      </w:tr>
      <w:tr>
        <w:trPr>
          <w:cantSplit/>
        </w:trPr>
        <w:tc>
          <w:tcPr>
            <w:tcW w:type="dxa" w:w="24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Viajes misioneros, 4 fotos</w:t>
            </w:r>
          </w:p>
        </w:tc>
        <w:tc>
          <w:tcPr>
            <w:tcW w:type="dxa" w:w="21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1600 × 1200 px cada una</w:t>
            </w:r>
          </w:p>
        </w:tc>
        <w:tc>
          <w:tcPr>
            <w:tcW w:type="dxa" w:w="14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4:3</w:t>
            </w:r>
          </w:p>
        </w:tc>
        <w:tc>
          <w:tcPr>
            <w:tcW w:type="dxa" w:w="41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Cuatro escenas distintas. Sin cita inventada encima.</w:t>
            </w:r>
          </w:p>
        </w:tc>
      </w:tr>
      <w:tr>
        <w:trPr>
          <w:cantSplit/>
        </w:trPr>
        <w:tc>
          <w:tcPr>
            <w:tcW w:type="dxa" w:w="24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Impacto global, 4 fotos</w:t>
            </w:r>
          </w:p>
        </w:tc>
        <w:tc>
          <w:tcPr>
            <w:tcW w:type="dxa" w:w="21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1800 × 1200 px cada una</w:t>
            </w:r>
          </w:p>
        </w:tc>
        <w:tc>
          <w:tcPr>
            <w:tcW w:type="dxa" w:w="14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3:2</w:t>
            </w:r>
          </w:p>
        </w:tc>
        <w:tc>
          <w:tcPr>
            <w:tcW w:type="dxa" w:w="41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Una por país o región que quieran mostrar.</w:t>
            </w:r>
          </w:p>
        </w:tc>
      </w:tr>
      <w:tr>
        <w:trPr>
          <w:cantSplit/>
        </w:trPr>
        <w:tc>
          <w:tcPr>
            <w:tcW w:type="dxa" w:w="24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Franja de misión, 3 fotos</w:t>
            </w:r>
          </w:p>
        </w:tc>
        <w:tc>
          <w:tcPr>
            <w:tcW w:type="dxa" w:w="21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1600 × 900 px cada una</w:t>
            </w:r>
          </w:p>
        </w:tc>
        <w:tc>
          <w:tcPr>
            <w:tcW w:type="dxa" w:w="14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16:9</w:t>
            </w:r>
          </w:p>
        </w:tc>
        <w:tc>
          <w:tcPr>
            <w:tcW w:type="dxa" w:w="41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Tres escenas distintas.</w:t>
            </w:r>
          </w:p>
        </w:tc>
      </w:tr>
      <w:tr>
        <w:trPr>
          <w:cantSplit/>
        </w:trPr>
        <w:tc>
          <w:tcPr>
            <w:tcW w:type="dxa" w:w="24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Cierre</w:t>
            </w:r>
          </w:p>
        </w:tc>
        <w:tc>
          <w:tcPr>
            <w:tcW w:type="dxa" w:w="21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3200 × 1400 px</w:t>
            </w:r>
          </w:p>
        </w:tc>
        <w:tc>
          <w:tcPr>
            <w:tcW w:type="dxa" w:w="14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16:7</w:t>
            </w:r>
          </w:p>
        </w:tc>
        <w:tc>
          <w:tcPr>
            <w:tcW w:type="dxa" w:w="41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Fondo ancho, con espacio para el texto.</w:t>
            </w:r>
          </w:p>
        </w:tc>
      </w:tr>
      <w:tr>
        <w:trPr>
          <w:cantSplit/>
        </w:trPr>
        <w:tc>
          <w:tcPr>
            <w:tcW w:type="dxa" w:w="24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Iconos de cifras, qué hacemos y cómo ayudar</w:t>
            </w:r>
          </w:p>
        </w:tc>
        <w:tc>
          <w:tcPr>
            <w:tcW w:type="dxa" w:w="21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256 × 256 px</w:t>
            </w:r>
          </w:p>
        </w:tc>
        <w:tc>
          <w:tcPr>
            <w:tcW w:type="dxa" w:w="14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1:1</w:t>
            </w:r>
          </w:p>
        </w:tc>
        <w:tc>
          <w:tcPr>
            <w:tcW w:type="dxa" w:w="41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PNG con fondo transparente. Son iconos, no fotos.</w:t>
            </w:r>
          </w:p>
        </w:tc>
      </w:tr>
      <w:tr>
        <w:trPr>
          <w:cantSplit/>
        </w:trPr>
        <w:tc>
          <w:tcPr>
            <w:tcW w:type="dxa" w:w="24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Logo</w:t>
            </w:r>
          </w:p>
        </w:tc>
        <w:tc>
          <w:tcPr>
            <w:tcW w:type="dxa" w:w="21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PNG transparente, lado mayor 1000 px, o SVG</w:t>
            </w:r>
          </w:p>
        </w:tc>
        <w:tc>
          <w:tcPr>
            <w:tcW w:type="dxa" w:w="14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w:t>
            </w:r>
          </w:p>
        </w:tc>
        <w:tc>
          <w:tcPr>
            <w:tcW w:type="dxa" w:w="41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El archivo actual es de 218 × 218 y se ve suave si se agranda.</w:t>
            </w:r>
          </w:p>
        </w:tc>
      </w:tr>
    </w:tbl>
    <w:p>
      <w:pPr>
        <w:spacing w:after="80" w:before="40"/>
      </w:pPr>
    </w:p>
    <w:p>
      <w:pPr>
        <w:spacing w:before="0" w:after="160" w:line="259" w:lineRule="auto"/>
      </w:pPr>
      <w:r>
        <w:rPr>
          <w:rFonts w:ascii="Calibri" w:hAnsi="Calibri" w:cs="Calibri"/>
          <w:b w:val="0"/>
          <w:i w:val="0"/>
          <w:color w:val="2B2D31"/>
          <w:sz w:val="22"/>
        </w:rPr>
        <w:t>La sección pública de la Academia y el retrato de un testimonio con nombre no se piden en este sprint: salen de la Home.</w:t>
      </w:r>
    </w:p>
    <w:p>
      <w:pPr>
        <w:spacing w:before="320" w:after="120"/>
        <w:pBdr>
          <w:bottom w:val="single" w:sz="12" w:space="1" w:color="0D47A1"/>
        </w:pBdr>
      </w:pPr>
      <w:r>
        <w:rPr>
          <w:rFonts w:ascii="Calibri" w:hAnsi="Calibri" w:cs="Calibri"/>
          <w:b/>
          <w:i w:val="0"/>
          <w:color w:val="0A1E3D"/>
          <w:sz w:val="32"/>
        </w:rPr>
        <w:t>Lo que necesitamos de usted para no frenar el 7 de octubre</w:t>
      </w:r>
    </w:p>
    <w:tbl>
      <w:tblPr>
        <w:tblW w:type="auto" w:w="0"/>
        <w:jc w:val="center"/>
        <w:tblLook w:firstColumn="1" w:firstRow="1" w:lastColumn="0" w:lastRow="0" w:noHBand="0" w:noVBand="1" w:val="04A0"/>
      </w:tblPr>
      <w:tblGrid>
        <w:gridCol w:w="10080"/>
      </w:tblGrid>
      <w:tr>
        <w:tc>
          <w:tcPr>
            <w:tcW w:type="dxa" w:w="10080"/>
            <w:shd w:fill="F4F7FB" w:val="clear"/>
            <w:tcBorders>
              <w:top w:val="single" w:sz="4" w:space="0" w:color="0D47A1"/>
              <w:left w:val="single" w:sz="4" w:space="0" w:color="0D47A1"/>
              <w:bottom w:val="single" w:sz="4" w:space="0" w:color="0D47A1"/>
              <w:right w:val="single" w:sz="4" w:space="0" w:color="0D47A1"/>
            </w:tcBorders>
            <w:tcMar>
              <w:top w:w="80" w:type="dxa"/>
              <w:left w:w="120" w:type="dxa"/>
              <w:bottom w:w="90" w:type="dxa"/>
              <w:right w:w="120" w:type="dxa"/>
            </w:tcMar>
          </w:tcPr>
          <w:p>
            <w:pPr>
              <w:spacing w:after="80"/>
            </w:pPr>
            <w:r>
              <w:rPr>
                <w:rFonts w:ascii="Calibri" w:hAnsi="Calibri" w:cs="Calibri"/>
                <w:b/>
                <w:i w:val="0"/>
                <w:color w:val="0A1E3D"/>
                <w:sz w:val="22"/>
              </w:rPr>
              <w:t>Complete y devuelva esto</w:t>
            </w:r>
          </w:p>
          <w:p>
            <w:pPr>
              <w:spacing w:after="40" w:before="20"/>
            </w:pPr>
            <w:r>
              <w:rPr>
                <w:rFonts w:ascii="Calibri" w:hAnsi="Calibri" w:cs="Calibri"/>
                <w:b w:val="0"/>
                <w:i w:val="0"/>
                <w:color w:val="2B2D31"/>
                <w:sz w:val="20"/>
              </w:rPr>
              <w:t>Cifras exactas de Erika, para el viernes 2 de octubre:</w:t>
            </w:r>
          </w:p>
          <w:p>
            <w:pPr>
              <w:spacing w:after="40" w:before="20"/>
            </w:pPr>
            <w:r>
              <w:rPr>
                <w:rFonts w:ascii="Calibri" w:hAnsi="Calibri" w:cs="Calibri"/>
                <w:b w:val="0"/>
                <w:i w:val="0"/>
                <w:color w:val="2B2D31"/>
                <w:sz w:val="20"/>
              </w:rPr>
              <w:t xml:space="preserve">    Capellanes y trabajadores del ministerio: ____________________</w:t>
            </w:r>
          </w:p>
          <w:p>
            <w:pPr>
              <w:spacing w:after="40" w:before="20"/>
            </w:pPr>
            <w:r>
              <w:rPr>
                <w:rFonts w:ascii="Calibri" w:hAnsi="Calibri" w:cs="Calibri"/>
                <w:b w:val="0"/>
                <w:i w:val="0"/>
                <w:color w:val="2B2D31"/>
                <w:sz w:val="20"/>
              </w:rPr>
              <w:t xml:space="preserve">    Escuelas: _________________________________________________</w:t>
            </w:r>
          </w:p>
          <w:p>
            <w:pPr>
              <w:spacing w:after="40" w:before="20"/>
            </w:pPr>
            <w:r>
              <w:rPr>
                <w:rFonts w:ascii="Calibri" w:hAnsi="Calibri" w:cs="Calibri"/>
                <w:b w:val="0"/>
                <w:i w:val="0"/>
                <w:color w:val="2B2D31"/>
                <w:sz w:val="20"/>
              </w:rPr>
              <w:t xml:space="preserve">    Naciones: _________________________________________________</w:t>
            </w:r>
          </w:p>
          <w:p>
            <w:pPr>
              <w:spacing w:after="40" w:before="20"/>
            </w:pPr>
            <w:r>
              <w:rPr>
                <w:rFonts w:ascii="Calibri" w:hAnsi="Calibri" w:cs="Calibri"/>
                <w:b w:val="0"/>
                <w:i w:val="0"/>
                <w:color w:val="2B2D31"/>
                <w:sz w:val="20"/>
              </w:rPr>
              <w:t xml:space="preserve">    Otra cifra que deba verse en la barra: _____________________</w:t>
            </w:r>
          </w:p>
          <w:p>
            <w:pPr>
              <w:spacing w:after="40" w:before="20"/>
            </w:pPr>
            <w:r>
              <w:rPr>
                <w:rFonts w:ascii="Calibri" w:hAnsi="Calibri" w:cs="Calibri"/>
                <w:b w:val="0"/>
                <w:i w:val="0"/>
                <w:color w:val="2B2D31"/>
                <w:sz w:val="20"/>
              </w:rPr>
              <w:t xml:space="preserve">    Fecha del informe del que salen: ___________________________</w:t>
            </w:r>
          </w:p>
          <w:p>
            <w:pPr>
              <w:spacing w:after="40" w:before="20"/>
            </w:pPr>
            <w:r>
              <w:rPr>
                <w:rFonts w:ascii="Calibri" w:hAnsi="Calibri" w:cs="Calibri"/>
                <w:b w:val="0"/>
                <w:i w:val="0"/>
                <w:color w:val="2B2D31"/>
                <w:sz w:val="20"/>
              </w:rPr>
            </w:r>
          </w:p>
          <w:p>
            <w:pPr>
              <w:spacing w:after="40" w:before="20"/>
            </w:pPr>
            <w:r>
              <w:rPr>
                <w:rFonts w:ascii="Calibri" w:hAnsi="Calibri" w:cs="Calibri"/>
                <w:b w:val="0"/>
                <w:i w:val="0"/>
                <w:color w:val="2B2D31"/>
                <w:sz w:val="20"/>
              </w:rPr>
              <w:t>Imágenes de la tabla anterior, para el lunes 5 de octubre.</w:t>
            </w:r>
          </w:p>
          <w:p>
            <w:pPr>
              <w:spacing w:after="40" w:before="20"/>
            </w:pPr>
            <w:r>
              <w:rPr>
                <w:rFonts w:ascii="Calibri" w:hAnsi="Calibri" w:cs="Calibri"/>
                <w:b w:val="0"/>
                <w:i w:val="0"/>
                <w:color w:val="2B2D31"/>
                <w:sz w:val="20"/>
              </w:rPr>
              <w:t xml:space="preserve">    Las envío en esas medidas:  sí / no</w:t>
            </w:r>
          </w:p>
          <w:p>
            <w:pPr>
              <w:spacing w:after="40" w:before="20"/>
            </w:pPr>
            <w:r>
              <w:rPr>
                <w:rFonts w:ascii="Calibri" w:hAnsi="Calibri" w:cs="Calibri"/>
                <w:b w:val="0"/>
                <w:i w:val="0"/>
                <w:color w:val="2B2D31"/>
                <w:sz w:val="20"/>
              </w:rPr>
              <w:t xml:space="preserve">    Si alguna foto muestra a un menor, el permiso está confirmado:  sí / no</w:t>
            </w:r>
          </w:p>
          <w:p>
            <w:pPr>
              <w:spacing w:after="40" w:before="20"/>
            </w:pPr>
            <w:r>
              <w:rPr>
                <w:rFonts w:ascii="Calibri" w:hAnsi="Calibri" w:cs="Calibri"/>
                <w:b w:val="0"/>
                <w:i w:val="0"/>
                <w:color w:val="2B2D31"/>
                <w:sz w:val="20"/>
              </w:rPr>
            </w:r>
          </w:p>
          <w:p>
            <w:pPr>
              <w:spacing w:after="40" w:before="20"/>
            </w:pPr>
            <w:r>
              <w:rPr>
                <w:rFonts w:ascii="Calibri" w:hAnsi="Calibri" w:cs="Calibri"/>
                <w:b w:val="0"/>
                <w:i w:val="0"/>
                <w:color w:val="2B2D31"/>
                <w:sz w:val="20"/>
              </w:rPr>
              <w:t>Boletín en GoHighLevel, para el lunes 5 de octubre:</w:t>
            </w:r>
          </w:p>
          <w:p>
            <w:pPr>
              <w:spacing w:after="40" w:before="20"/>
            </w:pPr>
            <w:r>
              <w:rPr>
                <w:rFonts w:ascii="Calibri" w:hAnsi="Calibri" w:cs="Calibri"/>
                <w:b w:val="0"/>
                <w:i w:val="0"/>
                <w:color w:val="2B2D31"/>
                <w:sz w:val="20"/>
              </w:rPr>
              <w:t xml:space="preserve">    Puedo dar acceso al sitio en GoHighLevel:  sí / no</w:t>
            </w:r>
          </w:p>
          <w:p>
            <w:pPr>
              <w:spacing w:after="40" w:before="20"/>
            </w:pPr>
            <w:r>
              <w:rPr>
                <w:rFonts w:ascii="Calibri" w:hAnsi="Calibri" w:cs="Calibri"/>
                <w:b w:val="0"/>
                <w:i w:val="0"/>
                <w:color w:val="2B2D31"/>
                <w:sz w:val="20"/>
              </w:rPr>
              <w:t xml:space="preserve">    O ya creé el formulario nativo (correo + casilla de consentimiento) y les paso el embed:  sí / no</w:t>
            </w:r>
          </w:p>
          <w:p>
            <w:pPr>
              <w:spacing w:after="40" w:before="20"/>
            </w:pPr>
            <w:r>
              <w:rPr>
                <w:rFonts w:ascii="Calibri" w:hAnsi="Calibri" w:cs="Calibri"/>
                <w:b w:val="0"/>
                <w:i w:val="0"/>
                <w:color w:val="2B2D31"/>
                <w:sz w:val="20"/>
              </w:rPr>
            </w:r>
          </w:p>
          <w:p>
            <w:pPr>
              <w:spacing w:after="40" w:before="20"/>
            </w:pPr>
            <w:r>
              <w:rPr>
                <w:rFonts w:ascii="Calibri" w:hAnsi="Calibri" w:cs="Calibri"/>
                <w:b w:val="0"/>
                <w:i w:val="0"/>
                <w:color w:val="2B2D31"/>
                <w:sz w:val="20"/>
              </w:rPr>
              <w:t>Revisión: estaré disponible el martes 7 de octubre:  sí / no</w:t>
            </w:r>
          </w:p>
          <w:p>
            <w:pPr>
              <w:spacing w:after="40" w:before="20"/>
            </w:pPr>
            <w:r>
              <w:rPr>
                <w:rFonts w:ascii="Calibri" w:hAnsi="Calibri" w:cs="Calibri"/>
                <w:b w:val="0"/>
                <w:i w:val="0"/>
                <w:color w:val="2B2D31"/>
                <w:sz w:val="20"/>
              </w:rPr>
              <w:t>Nombre: ________________________________  Fecha: ________________</w:t>
            </w:r>
          </w:p>
        </w:tc>
      </w:tr>
    </w:tbl>
    <w:p>
      <w:pPr>
        <w:spacing w:after="80"/>
      </w:pPr>
    </w:p>
    <w:p>
      <w:pPr>
        <w:spacing w:before="320" w:after="120"/>
        <w:pBdr>
          <w:bottom w:val="single" w:sz="12" w:space="1" w:color="0D47A1"/>
        </w:pBdr>
      </w:pPr>
      <w:r>
        <w:rPr>
          <w:rFonts w:ascii="Calibri" w:hAnsi="Calibri" w:cs="Calibri"/>
          <w:b/>
          <w:i w:val="0"/>
          <w:color w:val="0A1E3D"/>
          <w:sz w:val="32"/>
        </w:rPr>
        <w:t>Qué hace cada parte</w:t>
      </w:r>
    </w:p>
    <w:tbl>
      <w:tblPr>
        <w:tblW w:type="auto" w:w="0"/>
        <w:jc w:val="center"/>
        <w:tblLayout w:type="fixed"/>
        <w:tblLook w:firstColumn="1" w:firstRow="1" w:lastColumn="0" w:lastRow="0" w:noHBand="0" w:noVBand="1" w:val="04A0"/>
        <w:tblW w:w="10080" w:type="dxa"/>
        <w:tblLayout w:type="fixed"/>
      </w:tblPr>
      <w:tblGrid>
        <w:gridCol w:w="5040"/>
        <w:gridCol w:w="5040"/>
      </w:tblGrid>
      <w:tr>
        <w:trPr>
          <w:cantSplit/>
        </w:trPr>
        <w:tc>
          <w:tcPr>
            <w:tcW w:type="dxa" w:w="5040"/>
            <w:tcMar>
              <w:top w:w="50" w:type="dxa"/>
              <w:left w:w="70" w:type="dxa"/>
              <w:bottom w:w="50" w:type="dxa"/>
              <w:right w:w="70" w:type="dxa"/>
            </w:tcMar>
            <w:tcBorders>
              <w:top w:val="single" w:sz="4" w:space="0" w:color="0A1E3D"/>
              <w:left w:val="single" w:sz="4" w:space="0" w:color="0A1E3D"/>
              <w:bottom w:val="single" w:sz="4" w:space="0" w:color="0A1E3D"/>
              <w:right w:val="single" w:sz="4" w:space="0" w:color="0A1E3D"/>
            </w:tcBorders>
            <w:shd w:fill="0A1E3D" w:val="clear"/>
          </w:tcPr>
          <w:p>
            <w:pPr>
              <w:spacing w:after="0" w:before="0"/>
            </w:pPr>
            <w:r>
              <w:rPr>
                <w:rFonts w:ascii="Calibri" w:hAnsi="Calibri" w:cs="Calibri"/>
                <w:b/>
                <w:i w:val="0"/>
                <w:color w:val="FFFFFF"/>
                <w:sz w:val="18"/>
              </w:rPr>
              <w:t>Jesus Generation</w:t>
            </w:r>
          </w:p>
        </w:tc>
        <w:tc>
          <w:tcPr>
            <w:tcW w:type="dxa" w:w="5040"/>
            <w:tcMar>
              <w:top w:w="50" w:type="dxa"/>
              <w:left w:w="70" w:type="dxa"/>
              <w:bottom w:w="50" w:type="dxa"/>
              <w:right w:w="70" w:type="dxa"/>
            </w:tcMar>
            <w:tcBorders>
              <w:top w:val="single" w:sz="4" w:space="0" w:color="0A1E3D"/>
              <w:left w:val="single" w:sz="4" w:space="0" w:color="0A1E3D"/>
              <w:bottom w:val="single" w:sz="4" w:space="0" w:color="0A1E3D"/>
              <w:right w:val="single" w:sz="4" w:space="0" w:color="0A1E3D"/>
            </w:tcBorders>
            <w:shd w:fill="0A1E3D" w:val="clear"/>
          </w:tcPr>
          <w:p>
            <w:pPr>
              <w:spacing w:after="0" w:before="0"/>
            </w:pPr>
            <w:r>
              <w:rPr>
                <w:rFonts w:ascii="Calibri" w:hAnsi="Calibri" w:cs="Calibri"/>
                <w:b/>
                <w:i w:val="0"/>
                <w:color w:val="FFFFFF"/>
                <w:sz w:val="18"/>
              </w:rPr>
              <w:t>Equipo técnico</w:t>
            </w:r>
          </w:p>
        </w:tc>
      </w:tr>
      <w:tr>
        <w:trPr>
          <w:cantSplit/>
        </w:trPr>
        <w:tc>
          <w:tcPr>
            <w:tcW w:type="dxa" w:w="504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Entrega las cifras exactas, las imágenes en las medidas pedidas y el acceso o el formulario del boletín.</w:t>
            </w:r>
          </w:p>
        </w:tc>
        <w:tc>
          <w:tcPr>
            <w:tcW w:type="dxa" w:w="504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Construye la Home en inglés y la página “En construcción”.</w:t>
            </w:r>
          </w:p>
        </w:tc>
      </w:tr>
      <w:tr>
        <w:trPr>
          <w:cantSplit/>
        </w:trPr>
        <w:tc>
          <w:tcPr>
            <w:tcW w:type="dxa" w:w="504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Revisa el enlace el 7 de octubre y responde con aprobación o con cambios concretos.</w:t>
            </w:r>
          </w:p>
        </w:tc>
        <w:tc>
          <w:tcPr>
            <w:tcW w:type="dxa" w:w="504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Quita la Academia pública, las citas no verificadas y los enlaces legales vacíos.</w:t>
            </w:r>
          </w:p>
        </w:tc>
      </w:tr>
      <w:tr>
        <w:trPr>
          <w:cantSplit/>
        </w:trPr>
        <w:tc>
          <w:tcPr>
            <w:tcW w:type="dxa" w:w="504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No se le pide texto legal, historias, URL de pago ni login de la Academia para este sprint.</w:t>
            </w:r>
          </w:p>
        </w:tc>
        <w:tc>
          <w:tcPr>
            <w:tcW w:type="dxa" w:w="504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No publica el sitio en el dominio final en este sprint. No traduce el nombre. No inventa cifras ni testimonios.</w:t>
            </w:r>
          </w:p>
        </w:tc>
      </w:tr>
    </w:tbl>
    <w:p>
      <w:pPr>
        <w:spacing w:after="80" w:before="40"/>
      </w:pPr>
    </w:p>
    <w:p>
      <w:pPr>
        <w:spacing w:before="320" w:after="120"/>
        <w:pBdr>
          <w:bottom w:val="single" w:sz="12" w:space="1" w:color="0D47A1"/>
        </w:pBdr>
      </w:pPr>
      <w:r>
        <w:rPr>
          <w:rFonts w:ascii="Calibri" w:hAnsi="Calibri" w:cs="Calibri"/>
          <w:b/>
          <w:i w:val="0"/>
          <w:color w:val="0A1E3D"/>
          <w:sz w:val="32"/>
        </w:rPr>
        <w:t>Después del 7 de octubre</w:t>
      </w:r>
    </w:p>
    <w:p>
      <w:pPr>
        <w:spacing w:before="0" w:after="160" w:line="259" w:lineRule="auto"/>
      </w:pPr>
      <w:r>
        <w:rPr>
          <w:rFonts w:ascii="Calibri" w:hAnsi="Calibri" w:cs="Calibri"/>
          <w:b w:val="0"/>
          <w:i w:val="0"/>
          <w:color w:val="2B2D31"/>
          <w:sz w:val="22"/>
        </w:rPr>
        <w:t>En la revisión usted aprueba la Home o anota los cambios. Esos cambios se corrigen antes de abrir el Sprint 2. La Home sigue en revisión hasta su aprobación. La publicación en el dominio final queda para cuando el sitio en inglés cumpla la lista que usted ya fijó: formularios que envían, destinos reales, imágenes en alta resolución, historias no verificadas fuera, Academia fuera de lo público, páginas legales aprobadas, texto revisado y su revisión final.</w:t>
      </w:r>
    </w:p>
    <w:p>
      <w:pPr>
        <w:spacing w:before="280" w:after="40" w:line="259" w:lineRule="auto"/>
      </w:pPr>
      <w:r>
        <w:rPr>
          <w:rFonts w:ascii="Calibri" w:hAnsi="Calibri" w:cs="Calibri"/>
          <w:b/>
          <w:i w:val="0"/>
          <w:color w:val="0A1E3D"/>
          <w:sz w:val="28"/>
        </w:rPr>
        <w:t>Reach. Equip. Multiply.</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olor w:val="5C616A"/>
        <w:sz w:val="16"/>
      </w:rPr>
      <w:t>Jesus Generation  ·  Plan de trabajo  ·  30 de septiembre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Jesus Generation — Sprint 1: Home lista para revisión</dc:title>
  <dc:subject>Plan de trabajo y fecha de revisión de la página principal</dc:subject>
  <dc:creator>python-docx</dc:creator>
  <cp:keywords/>
  <dc:description>Sprint 1 comprometido al 7 de octubre de 2026. Inglés primero.</dc:description>
  <cp:lastModifiedBy/>
  <cp:revision>1</cp:revision>
  <dcterms:created xsi:type="dcterms:W3CDTF">2013-12-23T23:15:00Z</dcterms:created>
  <dcterms:modified xsi:type="dcterms:W3CDTF">2013-12-23T23:15:00Z</dcterms:modified>
  <cp:category>Sprint plan</cp:category>
</cp:coreProperties>
</file>