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>
    <v:background id="_x0000_s1025" fillcolor="#FFFFFF"/>
  </w:background>
  <w:body>
    <w:p>
      <w:pPr>
        <w:pStyle w:val="698"/>
        <w:pBdr/>
        <w:spacing w:line="360" w:lineRule="auto"/>
        <w:ind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</w:r>
      <w:r>
        <w:rPr>
          <w:sz w:val="26"/>
          <w:szCs w:val="26"/>
          <w:lang w:val="bg-BG"/>
        </w:rPr>
        <w:t xml:space="preserve">Клиент :  Валентин Бучакчиев</w:t>
      </w:r>
      <w:r>
        <w:rPr>
          <w:sz w:val="26"/>
          <w:szCs w:val="26"/>
          <w:lang w:val="bg-BG"/>
        </w:rPr>
      </w:r>
    </w:p>
    <w:p>
      <w:pPr>
        <w:pStyle w:val="698"/>
        <w:pBdr/>
        <w:spacing w:line="360" w:lineRule="auto"/>
        <w:ind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</w:r>
      <w:r>
        <w:rPr>
          <w:sz w:val="26"/>
          <w:szCs w:val="26"/>
          <w:lang w:val="bg-BG"/>
        </w:rPr>
        <w:t xml:space="preserve">Телефон : +359895097080</w:t>
      </w:r>
      <w:r>
        <w:rPr>
          <w:sz w:val="26"/>
          <w:szCs w:val="26"/>
          <w:lang w:val="bg-BG"/>
        </w:rPr>
      </w:r>
    </w:p>
    <w:p>
      <w:pPr>
        <w:pStyle w:val="698"/>
        <w:pBdr/>
        <w:spacing w:line="360" w:lineRule="auto"/>
        <w:ind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 xml:space="preserve">E-mail: </w:t>
      </w:r>
      <w:r>
        <w:rPr>
          <w:sz w:val="26"/>
          <w:szCs w:val="26"/>
          <w:lang w:val="en-US"/>
        </w:rPr>
      </w:r>
      <w:hyperlink r:id="rId9" w:tooltip="http://valentin@phys.uni" w:history="1">
        <w:r>
          <w:rPr>
            <w:rStyle w:val="187"/>
            <w:sz w:val="26"/>
            <w:szCs w:val="26"/>
            <w:lang w:val="en-US"/>
          </w:rPr>
          <w:t xml:space="preserve">valentin@phys.uni</w:t>
        </w:r>
      </w:hyperlink>
      <w:r>
        <w:rPr>
          <w:sz w:val="26"/>
          <w:szCs w:val="26"/>
          <w:lang w:val="en-US"/>
        </w:rPr>
        <w:t xml:space="preserve">-sofia.bg</w:t>
      </w:r>
      <w:r>
        <w:rPr>
          <w:sz w:val="26"/>
          <w:szCs w:val="26"/>
          <w:lang w:val="bg-BG"/>
        </w:rPr>
      </w:r>
    </w:p>
    <w:p>
      <w:pPr>
        <w:pStyle w:val="698"/>
        <w:pBdr>
          <w:top w:val="none" w:color="000000" w:sz="0" w:space="0"/>
          <w:left w:val="none" w:color="000000" w:sz="0" w:space="0"/>
          <w:bottom w:val="single" w:color="000000" w:sz="4" w:space="1"/>
          <w:right w:val="none" w:color="000000" w:sz="0" w:space="0"/>
        </w:pBdr>
        <w:spacing w:line="360" w:lineRule="auto"/>
        <w:ind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 xml:space="preserve">Лице за контакт : </w:t>
      </w:r>
      <w:r>
        <w:rPr>
          <w:sz w:val="26"/>
          <w:szCs w:val="26"/>
          <w:lang w:val="bg-BG"/>
        </w:rPr>
        <w:t xml:space="preserve">Валентин Бучакчиев</w:t>
      </w:r>
      <w:r/>
      <w:r>
        <w:rPr>
          <w:sz w:val="26"/>
          <w:szCs w:val="26"/>
          <w:lang w:val="bg-BG"/>
        </w:rPr>
      </w:r>
      <w:r>
        <w:rPr>
          <w:sz w:val="26"/>
          <w:szCs w:val="26"/>
          <w:lang w:val="bg-BG"/>
        </w:rPr>
      </w:r>
    </w:p>
    <w:p>
      <w:pPr>
        <w:pStyle w:val="698"/>
        <w:pBdr/>
        <w:spacing/>
        <w:ind/>
        <w:rPr>
          <w:lang w:val="bg-BG"/>
        </w:rPr>
      </w:pPr>
      <w:r>
        <w:rPr>
          <w:lang w:val="bg-BG"/>
        </w:rPr>
      </w:r>
      <w:r>
        <w:rPr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6"/>
          <w:szCs w:val="26"/>
          <w:highlight w:val="none"/>
          <w:lang w:val="bg-BG"/>
        </w:rPr>
      </w:pPr>
      <w:r>
        <w:rPr>
          <w:sz w:val="26"/>
          <w:szCs w:val="26"/>
          <w:lang w:val="bg-BG"/>
        </w:rPr>
        <w:t xml:space="preserve">И</w:t>
      </w:r>
      <w:r>
        <w:rPr>
          <w:sz w:val="26"/>
          <w:szCs w:val="26"/>
        </w:rPr>
        <w:t xml:space="preserve">ме на файл: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VB-PCB-Fabrication-30-09-2025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.zip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sz w:val="26"/>
          <w:szCs w:val="26"/>
          <w:lang w:val="bg-BG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Вид на ПП:</w:t>
      </w:r>
      <w:r>
        <w:rPr>
          <w:sz w:val="24"/>
          <w:lang w:val="en-US"/>
        </w:rPr>
        <w:t xml:space="preserve"> </w:t>
      </w:r>
      <w:r>
        <w:rPr>
          <w:b/>
          <w:bCs/>
          <w:sz w:val="24"/>
          <w:lang w:val="bg-BG"/>
        </w:rPr>
        <w:t xml:space="preserve">Двуслойни</w:t>
      </w:r>
      <w:r>
        <w:rPr>
          <w:b/>
          <w:bCs/>
          <w:sz w:val="26"/>
          <w:szCs w:val="26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highlight w:val="none"/>
        </w:rPr>
      </w:pPr>
      <w:r>
        <w:rPr>
          <w:sz w:val="24"/>
          <w:lang w:val="bg-BG"/>
        </w:rPr>
        <w:t xml:space="preserve">Бр</w:t>
      </w:r>
      <w:r>
        <w:rPr>
          <w:sz w:val="24"/>
          <w:lang w:val="bg-BG"/>
        </w:rPr>
        <w:t xml:space="preserve">ой на ПП: </w:t>
      </w:r>
      <w:r>
        <w:rPr>
          <w:b/>
          <w:bCs/>
          <w:sz w:val="24"/>
          <w:lang w:val="en-US"/>
        </w:rPr>
        <w:t xml:space="preserve">70</w:t>
      </w:r>
      <w:r>
        <w:rPr>
          <w:b/>
          <w:bCs/>
          <w:sz w:val="24"/>
          <w:lang w:val="bg-BG"/>
        </w:rPr>
        <w:t xml:space="preserve"> бр. общо</w:t>
      </w:r>
      <w:r>
        <w:rPr>
          <w:sz w:val="24"/>
          <w:lang w:val="en-US"/>
        </w:rPr>
        <w:br/>
        <w:tab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Fabrication-S14160-3010PS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- </w:t>
      </w:r>
      <w:r>
        <w:rPr>
          <w:b/>
          <w:bCs/>
          <w:sz w:val="24"/>
          <w:lang w:val="bg-BG"/>
        </w:rPr>
        <w:t xml:space="preserve">20 бр.</w:t>
      </w:r>
      <w:r>
        <w:rPr>
          <w:sz w:val="24"/>
          <w:lang w:val="bg-BG"/>
        </w:rPr>
        <w:br/>
        <w:tab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Fabrication-S14160-301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- </w:t>
      </w:r>
      <w:r>
        <w:rPr>
          <w:b/>
          <w:bCs/>
          <w:sz w:val="24"/>
          <w:lang w:val="bg-BG"/>
        </w:rPr>
        <w:t xml:space="preserve">20 бр.</w:t>
      </w:r>
      <w:r>
        <w:br/>
        <w:tab/>
        <w:tab/>
        <w:tab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Fabrication-LED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20 бр.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highlight w:val="none"/>
        </w:rPr>
        <w:tab/>
        <w:tab/>
        <w:tab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Fabrication-Base-Board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10 бр.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Вид на материала: </w:t>
      </w:r>
      <w:r>
        <w:rPr>
          <w:b/>
          <w:bCs/>
          <w:sz w:val="24"/>
          <w:lang w:val="bg-BG"/>
        </w:rPr>
        <w:t xml:space="preserve">1.6 мм</w:t>
      </w:r>
      <w:r>
        <w:rPr>
          <w:sz w:val="24"/>
          <w:lang w:val="bg-BG"/>
        </w:rPr>
        <w:t xml:space="preserve"> пълна дебелина, </w:t>
      </w:r>
      <w:r>
        <w:rPr>
          <w:b/>
          <w:bCs/>
          <w:sz w:val="24"/>
          <w:lang w:val="bg-BG"/>
        </w:rPr>
        <w:t xml:space="preserve">35 </w:t>
      </w:r>
      <w:r>
        <w:rPr>
          <w:b/>
          <w:bCs/>
          <w:sz w:val="24"/>
          <w:lang w:val="en-US"/>
        </w:rPr>
        <w:t xml:space="preserve">um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 xml:space="preserve">меден слой</w:t>
      </w:r>
      <w:r>
        <w:rPr>
          <w:sz w:val="24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Вид на финалното покритие</w:t>
      </w:r>
      <w:r>
        <w:rPr>
          <w:sz w:val="24"/>
          <w:lang w:val="bg-BG"/>
        </w:rPr>
        <w:t xml:space="preserve">: </w:t>
      </w:r>
      <w:r>
        <w:rPr>
          <w:b/>
          <w:bCs/>
          <w:sz w:val="24"/>
          <w:lang w:val="en-US"/>
        </w:rPr>
        <w:t xml:space="preserve">HASL</w:t>
      </w:r>
      <w:r>
        <w:rPr>
          <w:sz w:val="24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Защитна маска: </w:t>
      </w:r>
      <w:r>
        <w:rPr>
          <w:b/>
          <w:bCs/>
          <w:sz w:val="24"/>
          <w:lang w:val="bg-BG"/>
        </w:rPr>
        <w:t xml:space="preserve">Да</w:t>
      </w:r>
      <w:r>
        <w:rPr>
          <w:sz w:val="24"/>
          <w:lang w:val="bg-BG"/>
        </w:rPr>
        <w:t xml:space="preserve"> – зелена</w:t>
      </w:r>
      <w:r>
        <w:rPr>
          <w:sz w:val="24"/>
          <w:szCs w:val="24"/>
          <w:highlight w:val="none"/>
          <w:lang w:val="bg-BG"/>
        </w:rPr>
      </w: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Сервизен печат: </w:t>
      </w:r>
      <w:r>
        <w:rPr>
          <w:b/>
          <w:bCs/>
          <w:sz w:val="24"/>
          <w:lang w:val="bg-BG"/>
        </w:rPr>
        <w:t xml:space="preserve">Да</w:t>
      </w:r>
      <w:r>
        <w:rPr>
          <w:sz w:val="24"/>
          <w:lang w:val="bg-BG"/>
        </w:rPr>
        <w:t xml:space="preserve"> – навсякъде, където е наличен в предадените файлове</w:t>
      </w:r>
      <w:r>
        <w:rPr>
          <w:sz w:val="24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Механична обработка: </w:t>
      </w:r>
      <w:r>
        <w:rPr>
          <w:b/>
          <w:bCs/>
          <w:sz w:val="24"/>
          <w:lang w:val="bg-BG"/>
        </w:rPr>
        <w:t xml:space="preserve">Поединично рязане</w:t>
      </w:r>
      <w:r>
        <w:rPr>
          <w:b/>
          <w:bCs/>
          <w:sz w:val="24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  <w:lang w:val="en-US"/>
        </w:rPr>
      </w:pPr>
      <w:r>
        <w:rPr>
          <w:sz w:val="24"/>
          <w:lang w:val="bg-BG"/>
        </w:rPr>
        <w:t xml:space="preserve">Метализирани отвори</w:t>
      </w:r>
      <w:r>
        <w:rPr>
          <w:sz w:val="24"/>
          <w:lang w:val="bg-BG"/>
        </w:rPr>
        <w:t xml:space="preserve">: </w:t>
      </w:r>
      <w:r>
        <w:rPr>
          <w:sz w:val="24"/>
          <w:szCs w:val="24"/>
          <w:highlight w:val="none"/>
          <w:lang w:val="bg-BG"/>
        </w:rPr>
      </w:r>
      <w:r>
        <w:rPr>
          <w:sz w:val="24"/>
          <w:lang w:val="en-US"/>
        </w:rPr>
        <w:tab/>
        <w:tab/>
        <w:tab/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708" w:left="1416"/>
        <w:rPr>
          <w:b/>
          <w:bCs/>
          <w:sz w:val="24"/>
          <w:szCs w:val="24"/>
          <w:lang w:val="bg-BG"/>
        </w:rPr>
      </w:pPr>
      <w:r>
        <w:rPr>
          <w:sz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Fabrication-S14160-3010PS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- </w:t>
      </w:r>
      <w:r>
        <w:rPr>
          <w:b/>
          <w:bCs/>
          <w:sz w:val="24"/>
          <w:lang w:val="bg-BG"/>
        </w:rPr>
        <w:t xml:space="preserve">4 бр., 1 мм </w:t>
      </w:r>
      <w:r>
        <w:rPr>
          <w:b w:val="0"/>
          <w:bCs w:val="0"/>
          <w:sz w:val="24"/>
          <w:lang w:val="bg-BG"/>
        </w:rPr>
        <w:t xml:space="preserve">диаметър</w:t>
      </w:r>
      <w:r>
        <w:rPr>
          <w:b w:val="0"/>
          <w:bCs w:val="0"/>
          <w:sz w:val="24"/>
          <w:lang w:val="bg-BG"/>
        </w:rPr>
        <w:br/>
      </w:r>
      <w:r>
        <w:rPr>
          <w:sz w:val="24"/>
          <w:lang w:val="bg-BG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Fabrication-S14160-301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- </w:t>
      </w:r>
      <w:r>
        <w:rPr>
          <w:b/>
          <w:bCs/>
          <w:sz w:val="24"/>
          <w:lang w:val="bg-BG"/>
        </w:rPr>
        <w:t xml:space="preserve">4 бр., 1 мм </w:t>
      </w:r>
      <w:r>
        <w:rPr>
          <w:b w:val="0"/>
          <w:bCs w:val="0"/>
          <w:sz w:val="24"/>
          <w:lang w:val="bg-BG"/>
        </w:rPr>
        <w:t xml:space="preserve">диаметър</w:t>
      </w:r>
      <w:r>
        <w:rPr>
          <w:b w:val="0"/>
          <w:bCs w:val="0"/>
          <w:sz w:val="24"/>
          <w:lang w:val="bg-BG"/>
        </w:rPr>
        <w:br/>
      </w:r>
      <w:r>
        <w:rPr>
          <w:b w:val="0"/>
          <w:bCs w:val="0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bg-BG"/>
        </w:rPr>
      </w:r>
      <w:r>
        <w:rPr>
          <w:b/>
          <w:bCs/>
          <w:sz w:val="24"/>
          <w:szCs w:val="24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708" w:left="1416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bg-BG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Fabrication-LED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6 бр., 1 мм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bg-BG"/>
        </w:rPr>
        <w:t xml:space="preserve">диаметър</w:t>
      </w:r>
      <w:r>
        <w:rPr>
          <w:b w:val="0"/>
          <w:bCs w:val="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708" w:left="2832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       2 бр., 0.9 мм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bg-BG"/>
        </w:rPr>
        <w:t xml:space="preserve">диаметър</w:t>
      </w:r>
      <w:r>
        <w:rPr>
          <w:b w:val="0"/>
          <w:bCs w:val="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highlight w:val="none"/>
        </w:rPr>
      </w:pPr>
      <w:r>
        <w:rPr>
          <w:highlight w:val="none"/>
        </w:rPr>
        <w:tab/>
        <w:tab/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708" w:left="1416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bg-BG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Fabrication-Base-Board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204 бр., 1 мм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bg-BG"/>
        </w:rPr>
        <w:t xml:space="preserve">диаметър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br/>
        <w:tab/>
        <w:tab/>
        <w:tab/>
        <w:tab/>
        <w:t xml:space="preserve">      4 бр., 2.2 мм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bg-BG"/>
        </w:rPr>
        <w:t xml:space="preserve">диаметър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bg-BG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bg-BG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sz w:val="24"/>
          <w:szCs w:val="24"/>
          <w:lang w:val="en-US"/>
        </w:rPr>
      </w:pPr>
      <w:r>
        <w:rPr>
          <w:sz w:val="24"/>
          <w:lang w:val="bg-BG"/>
        </w:rPr>
        <w:t xml:space="preserve">Н</w:t>
      </w:r>
      <w:r>
        <w:rPr>
          <w:sz w:val="24"/>
          <w:lang w:val="bg-BG"/>
        </w:rPr>
        <w:t xml:space="preserve">еметализирани отвори:</w:t>
      </w:r>
      <w:r/>
      <w:r>
        <w:rPr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1416"/>
        <w:rPr>
          <w:highlight w:val="none"/>
        </w:rPr>
      </w:pPr>
      <w:r>
        <w:rPr>
          <w:sz w:val="24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Fabrication-LED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4 бр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.,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bg-BG"/>
        </w:rPr>
        <w:t xml:space="preserve">2.2 мм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bg-BG"/>
        </w:rPr>
        <w:t xml:space="preserve">диаметър</w:t>
      </w:r>
      <w:r>
        <w:rPr>
          <w:highlight w:val="none"/>
          <w:lang w:val="bg-BG"/>
        </w:rPr>
      </w:r>
      <w:r>
        <w:rPr>
          <w:highlight w:val="none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</w:r>
      <w:r>
        <w:rPr>
          <w:sz w:val="24"/>
          <w:lang w:val="bg-BG"/>
        </w:rPr>
      </w:r>
      <w:r/>
    </w:p>
    <w:p>
      <w:pPr>
        <w:pStyle w:val="698"/>
        <w:pBdr/>
        <w:spacing/>
        <w:ind/>
        <w:rPr>
          <w:sz w:val="24"/>
          <w:szCs w:val="24"/>
          <w:lang w:val="bg-BG"/>
        </w:rPr>
      </w:pPr>
      <w:r>
        <w:rPr>
          <w:sz w:val="24"/>
          <w:lang w:val="bg-BG"/>
        </w:rPr>
        <w:t xml:space="preserve">Предадена документация:</w:t>
      </w:r>
      <w:r>
        <w:rPr>
          <w:sz w:val="24"/>
          <w:szCs w:val="24"/>
          <w:lang w:val="bg-BG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708" w:left="1416"/>
        <w:rPr/>
      </w:pPr>
      <w:r>
        <w:rPr>
          <w:b/>
          <w:bCs/>
          <w:sz w:val="24"/>
          <w:lang w:val="en-US"/>
        </w:rPr>
        <w:t xml:space="preserve">VB-PCB-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REQ-30-09-2025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.doc</w:t>
      </w:r>
      <w:r>
        <w:rPr>
          <w:rFonts w:ascii="Times New Roman" w:hAnsi="Times New Roman" w:eastAsia="Times New Roman" w:cs="Times New Roman"/>
          <w:color w:val="000000"/>
          <w:sz w:val="24"/>
          <w:lang w:val="bg-BG"/>
        </w:rPr>
        <w:t xml:space="preserve"> - Заявка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  <w:tab/>
        <w:tab/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VB-PCB-Fabrication-30-09-2025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.zip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- </w:t>
      </w:r>
      <w:r>
        <w:rPr>
          <w:sz w:val="24"/>
          <w:highlight w:val="none"/>
          <w:lang w:val="bg-BG"/>
        </w:rPr>
        <w:t xml:space="preserve">Архив с 4 папки, всяка съдържаща файловете за 1 платка.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szCs w:val="24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/>
        </w:rPr>
        <w:t xml:space="preserve">Специални изисквания: </w:t>
      </w:r>
      <w:r>
        <w:rPr>
          <w:b/>
          <w:bCs/>
          <w:sz w:val="24"/>
          <w:highlight w:val="none"/>
          <w:lang w:val="bg-BG"/>
        </w:rPr>
        <w:t xml:space="preserve">Няма</w:t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 w:bidi="bg-BG"/>
        </w:rPr>
      </w:r>
      <w:r>
        <w:rPr>
          <w:sz w:val="24"/>
          <w:highlight w:val="none"/>
          <w:lang w:val="bg-BG"/>
        </w:rPr>
      </w:r>
    </w:p>
    <w:p>
      <w:pPr>
        <w:pStyle w:val="698"/>
        <w:pBdr/>
        <w:spacing/>
        <w:ind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Срок на изпълнение: </w:t>
      </w:r>
      <w:r>
        <w:rPr>
          <w:b/>
          <w:bCs/>
          <w:sz w:val="24"/>
          <w:lang w:val="bg-BG"/>
        </w:rPr>
        <w:t xml:space="preserve">Бърз</w:t>
      </w:r>
      <w:r>
        <w:rPr>
          <w:b/>
          <w:bCs/>
          <w:sz w:val="24"/>
          <w:szCs w:val="24"/>
          <w:highlight w:val="none"/>
          <w:lang w:val="bg-BG"/>
        </w:rPr>
      </w:r>
      <w:r>
        <w:rPr>
          <w:sz w:val="24"/>
          <w:szCs w:val="24"/>
          <w:highlight w:val="none"/>
          <w:lang w:val="bg-BG"/>
        </w:rPr>
      </w:r>
    </w:p>
    <w:p>
      <w:pPr>
        <w:pStyle w:val="698"/>
        <w:pBdr/>
        <w:spacing/>
        <w:ind w:right="431" w:firstLine="0" w:left="0"/>
        <w:rPr>
          <w:sz w:val="24"/>
          <w:szCs w:val="24"/>
          <w:highlight w:val="none"/>
          <w:lang w:val="bg-BG"/>
        </w:rPr>
      </w:pPr>
      <w:r>
        <w:rPr>
          <w:sz w:val="24"/>
          <w:highlight w:val="none"/>
          <w:lang w:val="bg-BG"/>
        </w:rPr>
      </w:r>
      <w:r>
        <w:rPr>
          <w:sz w:val="24"/>
          <w:highlight w:val="none"/>
          <w:lang w:val="bg-BG"/>
        </w:rPr>
      </w:r>
    </w:p>
    <w:p>
      <w:pPr>
        <w:pStyle w:val="698"/>
        <w:pBdr/>
        <w:spacing/>
        <w:ind w:right="431" w:firstLine="0" w:left="0"/>
        <w:rPr>
          <w:sz w:val="24"/>
          <w:szCs w:val="24"/>
          <w:highlight w:val="none"/>
          <w:lang w:val="bg-BG"/>
        </w:rPr>
      </w:pPr>
      <w:r>
        <w:rPr>
          <w:sz w:val="24"/>
          <w:lang w:val="bg-BG"/>
        </w:rPr>
        <w:t xml:space="preserve">Дата: </w:t>
      </w:r>
      <w:r>
        <w:rPr>
          <w:b/>
          <w:bCs/>
          <w:sz w:val="24"/>
          <w:lang w:val="bg-BG"/>
        </w:rPr>
        <w:t xml:space="preserve">30.09.2025 г.</w:t>
      </w:r>
      <w:r>
        <w:rPr>
          <w:sz w:val="24"/>
          <w:lang w:val="bg-BG"/>
        </w:rPr>
      </w:r>
    </w:p>
    <w:sectPr>
      <w:footerReference w:type="default" r:id="rId8"/>
      <w:footnotePr/>
      <w:endnotePr/>
      <w:type w:val="nextPage"/>
      <w:pgSz w:h="16838" w:orient="portrait" w:w="11906"/>
      <w:pgMar w:top="1440" w:right="849" w:bottom="1440" w:left="1843" w:header="709" w:footer="720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603000000000000"/>
  </w:font>
  <w:font w:name="Mangal">
    <w:panose1 w:val="0204050305040603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24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bothSides"/>
              <wp:docPr id="1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35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08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Style w:val="702"/>
                            </w:rPr>
                            <w:fldChar w:fldCharType="begin"/>
                          </w:r>
                          <w:r>
                            <w:rPr>
                              <w:rStyle w:val="702"/>
                            </w:rPr>
                            <w:instrText xml:space="preserve"> PAGE </w:instrText>
                          </w:r>
                          <w:r>
                            <w:rPr>
                              <w:rStyle w:val="702"/>
                            </w:rPr>
                            <w:fldChar w:fldCharType="separate"/>
                          </w:r>
                          <w:r>
                            <w:rPr>
                              <w:rStyle w:val="702"/>
                            </w:rPr>
                            <w:t xml:space="preserve">1</w:t>
                          </w:r>
                          <w:r>
                            <w:rPr>
                              <w:rStyle w:val="702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524288;o:allowoverlap:true;o:allowincell:true;mso-position-horizontal-relative:margin;mso-position-horizontal:center;mso-position-vertical-relative:text;margin-top:0.05pt;mso-position-vertical:absolute;width:5.00pt;height:11.50pt;mso-wrap-distance-left:0.00pt;mso-wrap-distance-top:0.00pt;mso-wrap-distance-right:0.00pt;mso-wrap-distance-bottom:0.00pt;visibility:visible;" fillcolor="#FFFFFF" stroked="f">
              <v:fill opacity="0f"/>
              <w10:wrap type="square"/>
              <v:textbox inset="0,0,0,0">
                <w:txbxContent>
                  <w:p>
                    <w:pPr>
                      <w:pStyle w:val="708"/>
                      <w:pBdr/>
                      <w:spacing/>
                      <w:ind/>
                      <w:rPr/>
                    </w:pPr>
                    <w:r>
                      <w:rPr>
                        <w:rStyle w:val="702"/>
                      </w:rPr>
                      <w:fldChar w:fldCharType="begin"/>
                    </w:r>
                    <w:r>
                      <w:rPr>
                        <w:rStyle w:val="702"/>
                      </w:rPr>
                      <w:instrText xml:space="preserve"> PAGE </w:instrText>
                    </w:r>
                    <w:r>
                      <w:rPr>
                        <w:rStyle w:val="702"/>
                      </w:rPr>
                      <w:fldChar w:fldCharType="separate"/>
                    </w:r>
                    <w:r>
                      <w:rPr>
                        <w:rStyle w:val="702"/>
                      </w:rPr>
                      <w:t xml:space="preserve">1</w:t>
                    </w:r>
                    <w:r>
                      <w:rPr>
                        <w:rStyle w:val="702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8"/>
    <w:next w:val="69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8"/>
    <w:next w:val="69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8"/>
    <w:next w:val="69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8"/>
    <w:next w:val="69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8"/>
    <w:next w:val="6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8"/>
    <w:next w:val="69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8"/>
    <w:link w:val="7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180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table" w:styleId="69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8" w:default="1">
    <w:name w:val="Normal"/>
    <w:next w:val="698"/>
    <w:link w:val="698"/>
    <w:pPr>
      <w:widowControl w:val="true"/>
      <w:pBdr/>
      <w:bidi w:val="false"/>
      <w:spacing/>
      <w:ind/>
      <w:jc w:val="left"/>
    </w:pPr>
    <w:rPr>
      <w:rFonts w:ascii="Times New Roman" w:hAnsi="Times New Roman" w:eastAsia="Times New Roman" w:cs="Calibri"/>
      <w:color w:val="auto"/>
      <w:sz w:val="20"/>
      <w:szCs w:val="20"/>
      <w:lang w:val="en-GB" w:eastAsia="ar-SA" w:bidi="ar-SA"/>
    </w:rPr>
  </w:style>
  <w:style w:type="character" w:styleId="699">
    <w:name w:val="Absatz-Standardschriftart"/>
    <w:next w:val="699"/>
    <w:link w:val="698"/>
    <w:pPr>
      <w:pBdr/>
      <w:spacing/>
      <w:ind/>
    </w:pPr>
  </w:style>
  <w:style w:type="character" w:styleId="700" w:default="1">
    <w:name w:val="Default Paragraph Font"/>
    <w:next w:val="700"/>
    <w:link w:val="698"/>
    <w:pPr>
      <w:pBdr/>
      <w:spacing/>
      <w:ind/>
    </w:pPr>
  </w:style>
  <w:style w:type="character" w:styleId="701">
    <w:name w:val="Footer Char"/>
    <w:basedOn w:val="700"/>
    <w:next w:val="701"/>
    <w:link w:val="698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702">
    <w:name w:val="Номер на страница"/>
    <w:basedOn w:val="700"/>
    <w:next w:val="702"/>
    <w:pPr>
      <w:pBdr/>
      <w:spacing/>
      <w:ind/>
    </w:pPr>
  </w:style>
  <w:style w:type="paragraph" w:styleId="703">
    <w:name w:val="Заглавие"/>
    <w:basedOn w:val="698"/>
    <w:next w:val="704"/>
    <w:pPr>
      <w:keepNext w:val="true"/>
      <w:pBdr/>
      <w:spacing w:after="120" w:before="240"/>
      <w:ind/>
    </w:pPr>
    <w:rPr>
      <w:rFonts w:ascii="Arial" w:hAnsi="Arial" w:eastAsia="SimSun" w:cs="Mangal"/>
      <w:sz w:val="28"/>
      <w:szCs w:val="28"/>
    </w:rPr>
  </w:style>
  <w:style w:type="paragraph" w:styleId="704">
    <w:name w:val="Основен текст"/>
    <w:basedOn w:val="698"/>
    <w:next w:val="704"/>
    <w:pPr>
      <w:pBdr/>
      <w:spacing w:after="120" w:before="0"/>
      <w:ind/>
    </w:pPr>
  </w:style>
  <w:style w:type="paragraph" w:styleId="705">
    <w:name w:val="Списък"/>
    <w:basedOn w:val="704"/>
    <w:next w:val="705"/>
    <w:link w:val="698"/>
    <w:pPr>
      <w:pBdr/>
      <w:spacing/>
      <w:ind/>
    </w:pPr>
    <w:rPr>
      <w:rFonts w:cs="Mangal"/>
    </w:rPr>
  </w:style>
  <w:style w:type="paragraph" w:styleId="706">
    <w:name w:val="Надпис"/>
    <w:basedOn w:val="698"/>
    <w:next w:val="706"/>
    <w:link w:val="698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707">
    <w:name w:val="Указател"/>
    <w:basedOn w:val="698"/>
    <w:next w:val="707"/>
    <w:pPr>
      <w:suppressLineNumbers w:val="true"/>
      <w:pBdr/>
      <w:spacing/>
      <w:ind/>
    </w:pPr>
    <w:rPr>
      <w:rFonts w:cs="Mangal"/>
    </w:rPr>
  </w:style>
  <w:style w:type="paragraph" w:styleId="708">
    <w:name w:val="Долен колонтитул"/>
    <w:basedOn w:val="698"/>
    <w:next w:val="708"/>
    <w:link w:val="698"/>
    <w:pPr>
      <w:pBdr/>
      <w:spacing/>
      <w:ind/>
    </w:pPr>
  </w:style>
  <w:style w:type="paragraph" w:styleId="709">
    <w:name w:val="Рамка - съдържание"/>
    <w:basedOn w:val="704"/>
    <w:next w:val="709"/>
    <w:link w:val="698"/>
    <w:pPr>
      <w:pBdr/>
      <w:spacing/>
      <w:ind/>
    </w:pPr>
  </w:style>
  <w:style w:type="paragraph" w:styleId="710">
    <w:name w:val="Горен колонтитул"/>
    <w:basedOn w:val="698"/>
    <w:next w:val="710"/>
    <w:link w:val="698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hyperlink" Target="http://valentin@phys.un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</dc:creator>
  <cp:revision>5</cp:revision>
  <dcterms:created xsi:type="dcterms:W3CDTF">2008-05-23T08:49:00Z</dcterms:created>
  <dcterms:modified xsi:type="dcterms:W3CDTF">2025-09-30T10:05:13Z</dcterms:modified>
</cp:coreProperties>
</file>