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52"/>
        </w:rPr>
        <w:t>Portfolio Risk Budgeting System</w:t>
      </w:r>
    </w:p>
    <w:p>
      <w:pPr>
        <w:jc w:val="center"/>
      </w:pPr>
      <w:r>
        <w:rPr>
          <w:color w:val="444444"/>
          <w:sz w:val="30"/>
        </w:rPr>
        <w:t>Instrument Universe &amp; Price-History Catalog</w:t>
      </w:r>
    </w:p>
    <w:p>
      <w:pPr>
        <w:jc w:val="center"/>
      </w:pPr>
      <w:r>
        <w:rPr>
          <w:sz w:val="20"/>
        </w:rPr>
        <w:t>Generated 2026-06-01  ·  branch claude/portfolio-risk-budgeting-plan-ahVMe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"Update Field" to build the table of contents.</w:t>
        <w:fldChar w:fldCharType="end"/>
      </w:r>
    </w:p>
    <w:p>
      <w:r>
        <w:br w:type="page"/>
      </w:r>
    </w:p>
    <w:p>
      <w:pPr>
        <w:ind w:left="432"/>
        <w:shd w:val="clear" w:fill="EEF3FB"/>
      </w:pPr>
      <w:r>
        <w:rPr>
          <w:i/>
        </w:rPr>
        <w:t xml:space="preserve">The investable universe for the Portfolio Risk Budgeting system. Scope (agreed): </w:t>
      </w:r>
      <w:r>
        <w:rPr>
          <w:b/>
          <w:i/>
        </w:rPr>
        <w:t>broad US-traded universe</w:t>
      </w:r>
      <w:r>
        <w:rPr>
          <w:i/>
        </w:rPr>
        <w:t xml:space="preserve">, </w:t>
      </w:r>
      <w:r>
        <w:rPr>
          <w:b/>
          <w:i/>
        </w:rPr>
        <w:t>spliced for maximum history</w:t>
      </w:r>
      <w:r>
        <w:rPr>
          <w:i/>
        </w:rPr>
        <w:t xml:space="preserve">, organized </w:t>
      </w:r>
      <w:r>
        <w:rPr>
          <w:b/>
          <w:i/>
        </w:rPr>
        <w:t>by exposure</w:t>
      </w:r>
      <w:r>
        <w:rPr>
          <w:i/>
        </w:rPr>
        <w:t xml:space="preserve"> so each line shows the three vehicles side by side — the </w:t>
      </w:r>
      <w:r>
        <w:rPr>
          <w:b/>
          <w:i/>
        </w:rPr>
        <w:t>futures contract</w:t>
      </w:r>
      <w:r>
        <w:rPr>
          <w:i/>
        </w:rPr>
        <w:t xml:space="preserve">, the </w:t>
      </w:r>
      <w:r>
        <w:rPr>
          <w:b/>
          <w:i/>
        </w:rPr>
        <w:t>ETF equivalent</w:t>
      </w:r>
      <w:r>
        <w:rPr>
          <w:i/>
        </w:rPr>
        <w:t xml:space="preserve">, and the </w:t>
      </w:r>
      <w:r>
        <w:rPr>
          <w:b/>
          <w:i/>
        </w:rPr>
        <w:t>deep cash/spot price history</w:t>
      </w:r>
      <w:r>
        <w:rPr>
          <w:i/>
        </w:rPr>
        <w:t xml:space="preserve">. Commodities are </w:t>
      </w:r>
      <w:r>
        <w:rPr>
          <w:b/>
          <w:i/>
        </w:rPr>
        <w:t>energy + base metals + precious metals only</w:t>
      </w:r>
      <w:r>
        <w:rPr>
          <w:i/>
        </w:rPr>
        <w:t xml:space="preserve"> (no grains/softs/ livestock, no micros). </w:t>
      </w:r>
      <w:r>
        <w:rPr>
          <w:b/>
          <w:i/>
        </w:rPr>
        <w:t>No FX/currency futures.</w:t>
      </w:r>
      <w:r>
        <w:rPr>
          <w:i/>
        </w:rPr>
        <w:t xml:space="preserve"> Equity-index and commodity </w:t>
      </w:r>
      <w:r>
        <w:rPr>
          <w:b/>
          <w:i/>
        </w:rPr>
        <w:t>micros are excluded.</w:t>
      </w:r>
      <w:r>
        <w:rPr>
          <w:i/>
        </w:rPr>
        <w:t xml:space="preserve"> Machine-readable version: </w:t>
      </w:r>
      <w:r>
        <w:rPr>
          <w:rFonts w:ascii="Consolas" w:hAnsi="Consolas"/>
          <w:i/>
          <w:sz w:val="19"/>
        </w:rPr>
        <w:t>docs/instrument_universe.csv</w:t>
      </w:r>
      <w:r>
        <w:rPr>
          <w:i/>
        </w:rPr>
        <w:t>.</w:t>
      </w:r>
    </w:p>
    <w:p>
      <w:r>
        <w:rPr>
          <w:b/>
        </w:rPr>
        <w:t>Confidence flags:</w:t>
      </w:r>
      <w:r>
        <w:t xml:space="preserve"> </w:t>
      </w:r>
      <w:r>
        <w:rPr>
          <w:rFonts w:ascii="Consolas" w:hAnsi="Consolas"/>
          <w:sz w:val="19"/>
        </w:rPr>
        <w:t>[H]</w:t>
      </w:r>
      <w:r>
        <w:t xml:space="preserve"> verified against exchange/issuer/primary or multiple</w:t>
      </w:r>
    </w:p>
    <w:p>
      <w:r>
        <w:t xml:space="preserve">sources · </w:t>
      </w:r>
      <w:r>
        <w:rPr>
          <w:rFonts w:ascii="Consolas" w:hAnsi="Consolas"/>
          <w:sz w:val="19"/>
        </w:rPr>
        <w:t>[M]</w:t>
      </w:r>
      <w:r>
        <w:t xml:space="preserve"> single reputable source / known-but-verify · </w:t>
      </w:r>
      <w:r>
        <w:rPr>
          <w:rFonts w:ascii="Consolas" w:hAnsi="Consolas"/>
          <w:sz w:val="19"/>
        </w:rPr>
        <w:t>[L]</w:t>
      </w:r>
      <w:r>
        <w:t xml:space="preserve"> approximate.</w:t>
      </w:r>
    </w:p>
    <w:p>
      <w:r>
        <w:rPr>
          <w:b/>
        </w:rPr>
        <w:t>Splice rules:</w:t>
      </w:r>
      <w:r>
        <w:t xml:space="preserve"> instrument from inception forward, back-filled with the underlying</w:t>
      </w:r>
    </w:p>
    <w:p>
      <w:r>
        <w:t xml:space="preserve">series before that (seam = inception). Splice adjusted/total-return to </w:t>
      </w:r>
      <w:r>
        <w:rPr>
          <w:b/>
        </w:rPr>
        <w:t>TR</w:t>
      </w:r>
      <w:r>
        <w:t xml:space="preserve"> series,</w:t>
      </w:r>
    </w:p>
    <w:p>
      <w:r>
        <w:t xml:space="preserve">raw price to </w:t>
      </w:r>
      <w:r>
        <w:rPr>
          <w:b/>
        </w:rPr>
        <w:t>price</w:t>
      </w:r>
      <w:r>
        <w:t xml:space="preserve"> series — never mix. For futures, splice to the </w:t>
      </w:r>
      <w:r>
        <w:rPr>
          <w:b/>
        </w:rPr>
        <w:t>cash index</w:t>
      </w:r>
    </w:p>
    <w:p>
      <w:r>
        <w:t xml:space="preserve">(price); </w:t>
      </w:r>
      <w:r>
        <w:rPr>
          <w:b/>
        </w:rPr>
        <w:t>do not</w:t>
      </w:r>
      <w:r>
        <w:t xml:space="preserve"> naively splice spot onto a futures roll (back-adjust). ETF</w:t>
      </w:r>
    </w:p>
    <w:p>
      <w:r>
        <w:t xml:space="preserve">adjusted-close ≈ total return; splice it to the index </w:t>
      </w:r>
      <w:r>
        <w:rPr>
          <w:b/>
        </w:rPr>
        <w:t>TR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1. Equities</w:t>
      </w:r>
    </w:p>
    <w:p>
      <w:pPr>
        <w:pStyle w:val="Heading3"/>
      </w:pPr>
      <w:r>
        <w:t>1a. Benchmark universes (tradable baskets)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7"/>
              </w:rPr>
              <w:t>Universe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# names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Rebalance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Free point-in-time membership</w:t>
            </w:r>
          </w:p>
        </w:tc>
        <w:tc>
          <w:tcPr>
            <w:tcW w:type="dxa" w:w="1728"/>
          </w:tcPr>
          <w:p>
            <w:r>
              <w:rPr>
                <w:b/>
                <w:sz w:val="17"/>
              </w:rPr>
              <w:t>Conf.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Dow 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Ad hoc (committee)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Wikipedia to 1896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100 (OEX)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~100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current list only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b/>
                <w:sz w:val="17"/>
              </w:rPr>
              <w:t>S&amp;P 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500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 + ad hoc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GitHub change logs, reliable ~2000+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MidCap 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weak free PIT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S&amp;P SmallCap 600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600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Quarterly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weak free PIT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[M]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Nasdaq-100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Annual (Dec)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Wikipedia changes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  <w:tr>
        <w:tc>
          <w:tcPr>
            <w:tcW w:type="dxa" w:w="1728"/>
          </w:tcPr>
          <w:p>
            <w:r>
              <w:rPr>
                <w:sz w:val="17"/>
              </w:rPr>
              <w:t>Russell 1000 / 2000 / 3000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1k / 2k / 3k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 xml:space="preserve">Annual Jun → </w:t>
            </w:r>
            <w:r>
              <w:rPr>
                <w:b/>
                <w:sz w:val="17"/>
              </w:rPr>
              <w:t>semi-annual 2026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licensed (FTSE Russell / Norgate)</w:t>
            </w:r>
          </w:p>
        </w:tc>
        <w:tc>
          <w:tcPr>
            <w:tcW w:type="dxa" w:w="1728"/>
          </w:tcPr>
          <w:p>
            <w:r>
              <w:rPr>
                <w:sz w:val="17"/>
              </w:rPr>
              <w:t>[H]</w:t>
            </w:r>
          </w:p>
        </w:tc>
      </w:tr>
    </w:tbl>
    <w:p>
      <w:r>
        <w:t>PIT membership matters: build the universe as it *was* on each date (incl. later-delisted</w:t>
      </w:r>
    </w:p>
    <w:p>
      <w:r>
        <w:t>names) or backtests are survivorship-biased. Free S&amp;P 500 membership ~2000+; Russell is licensed.</w:t>
      </w:r>
    </w:p>
    <w:p>
      <w:pPr>
        <w:ind w:left="432"/>
        <w:shd w:val="clear" w:fill="EEF3FB"/>
      </w:pPr>
      <w:r>
        <w:rPr>
          <w:b/>
          <w:i/>
        </w:rPr>
        <w:t>Single-name stocks are intentionally excluded</w:t>
      </w:r>
      <w:r>
        <w:rPr>
          <w:i/>
        </w:rPr>
        <w:t xml:space="preserve"> — this universe trades indices, ETFs, and futures, not individual companies. Equity exposure is obtained through the index vehicles in §2 (futures + ETF + cash-index history).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2. Equity-Index Exposures (futures + ETF + cash history, stitched)</w:t>
      </w:r>
    </w:p>
    <w:p>
      <w:r>
        <w:t>No micros. Each exposure has a futures contract, an ETF equivalent, and deep cash-index history.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Underlying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Cash-index history (earliest)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500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ES 1997-09 (SP 1982-04)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SPY 1993-01</w:t>
            </w:r>
            <w:r>
              <w:rPr>
                <w:sz w:val="17"/>
              </w:rPr>
              <w:t xml:space="preserve"> (IVV/VOO)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cash </w:t>
            </w:r>
            <w:r>
              <w:rPr>
                <w:b/>
                <w:sz w:val="17"/>
              </w:rPr>
              <w:t>1957</w:t>
            </w:r>
            <w:r>
              <w:rPr>
                <w:sz w:val="17"/>
              </w:rPr>
              <w:t xml:space="preserve">; Shiller composite </w:t>
            </w:r>
            <w:r>
              <w:rPr>
                <w:b/>
                <w:sz w:val="17"/>
              </w:rPr>
              <w:t>1871</w:t>
            </w:r>
            <w:r>
              <w:rPr>
                <w:sz w:val="17"/>
              </w:rPr>
              <w:t>; TR daily 1988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Nasdaq-100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NQ 1999-06 (ND 1996-04)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QQQ 1999-03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NDX cash </w:t>
            </w:r>
            <w:r>
              <w:rPr>
                <w:b/>
                <w:sz w:val="17"/>
              </w:rPr>
              <w:t>1985-01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Dow 30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YM 2002-04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DIA 1998-01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DJIA </w:t>
            </w:r>
            <w:r>
              <w:rPr>
                <w:b/>
                <w:sz w:val="17"/>
              </w:rPr>
              <w:t>1896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Russell 2000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RTY 2017-07 (CME 1993→ICE 2008→CME 2017)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IWM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RUT cash </w:t>
            </w:r>
            <w:r>
              <w:rPr>
                <w:b/>
                <w:sz w:val="17"/>
              </w:rPr>
              <w:t>1987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MidCap 400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EMD ~2002 (thin)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MDY 1995-05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400 </w:t>
            </w:r>
            <w:r>
              <w:rPr>
                <w:b/>
                <w:sz w:val="17"/>
              </w:rPr>
              <w:t>1991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S&amp;P SmallCap 600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SMC (illiquid — use ETF)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IJR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S&amp;P 600 </w:t>
            </w:r>
            <w:r>
              <w:rPr>
                <w:b/>
                <w:sz w:val="17"/>
              </w:rPr>
              <w:t>1994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US total market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VTI 2001-05</w:t>
            </w:r>
            <w:r>
              <w:rPr>
                <w:sz w:val="17"/>
              </w:rPr>
              <w:t xml:space="preserve"> (VTSMX 1992)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Russell 1000 / Value / Growth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IWB / IWD / IWF 2000-05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Russell </w:t>
            </w:r>
            <w:r>
              <w:rPr>
                <w:b/>
                <w:sz w:val="17"/>
              </w:rPr>
              <w:t>1978-12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Nikkei 225 (intl, optional)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NKD 1990-09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(EWJ proxy)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Nikkei cash </w:t>
            </w:r>
            <w:r>
              <w:rPr>
                <w:b/>
                <w:sz w:val="17"/>
              </w:rPr>
              <w:t>1950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SP full-size </w:t>
      </w:r>
      <w:r>
        <w:rPr>
          <w:b/>
          <w:i/>
        </w:rPr>
        <w:t>delisted 2021-09-17</w:t>
      </w:r>
      <w:r>
        <w:rPr>
          <w:i/>
        </w:rPr>
        <w:t xml:space="preserve"> (→ ES). Splice futures to the </w:t>
      </w:r>
      <w:r>
        <w:rPr>
          <w:b/>
          <w:i/>
        </w:rPr>
        <w:t>price</w:t>
      </w:r>
      <w:r>
        <w:rPr>
          <w:i/>
        </w:rPr>
        <w:t xml:space="preserve"> cash index. Deepest *daily* equity-market total return (free): Ken French market TR from </w:t>
      </w:r>
      <w:r>
        <w:rPr>
          <w:b/>
          <w:i/>
        </w:rPr>
        <w:t>1926-07</w:t>
      </w:r>
      <w:r>
        <w:rPr>
          <w:i/>
        </w:rPr>
        <w:t>.</w:t>
      </w:r>
    </w:p>
    <w:p>
      <w:r>
        <w:rPr>
          <w:b/>
        </w:rPr>
        <w:t>Sector ETFs (Select Sector SPDRs):</w:t>
      </w:r>
      <w:r>
        <w:t xml:space="preserve"> XLK XLF XLE XLV XLI XLY XLP XLU XLB all </w:t>
      </w:r>
      <w:r>
        <w:rPr>
          <w:b/>
        </w:rPr>
        <w:t>1998-12-16</w:t>
      </w:r>
      <w:r>
        <w:t>;</w:t>
      </w:r>
    </w:p>
    <w:p>
      <w:r>
        <w:rPr>
          <w:b/>
        </w:rPr>
        <w:t>XLRE 2015-10</w:t>
      </w:r>
      <w:r>
        <w:t xml:space="preserve"> (carve-out from XLF) and </w:t>
      </w:r>
      <w:r>
        <w:rPr>
          <w:b/>
        </w:rPr>
        <w:t>XLC 2018-06</w:t>
      </w:r>
      <w:r>
        <w:t xml:space="preserve"> (GICS realignment) have no pre-launch</w:t>
      </w:r>
    </w:p>
    <w:p>
      <w:r>
        <w:t>ETF price — index back-history only.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3. Volatility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History note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VIX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VX 2004-03-26</w:t>
            </w:r>
            <w:r>
              <w:rPr>
                <w:sz w:val="17"/>
              </w:rPr>
              <w:t xml:space="preserve"> (clean ~2007)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VXX 2009-01 / VIXY 2011-01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VIX index back-calc </w:t>
            </w:r>
            <w:r>
              <w:rPr>
                <w:b/>
                <w:sz w:val="17"/>
              </w:rPr>
              <w:t>1990</w:t>
            </w:r>
            <w:r>
              <w:rPr>
                <w:sz w:val="17"/>
              </w:rPr>
              <w:t xml:space="preserve"> (VXO </w:t>
            </w:r>
            <w:r>
              <w:rPr>
                <w:b/>
                <w:sz w:val="17"/>
              </w:rPr>
              <w:t>1986</w:t>
            </w:r>
            <w:r>
              <w:rPr>
                <w:sz w:val="17"/>
              </w:rPr>
              <w:t xml:space="preserve"> for '87 crash)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Do </w:t>
      </w:r>
      <w:r>
        <w:rPr>
          <w:b/>
          <w:i/>
        </w:rPr>
        <w:t>not</w:t>
      </w:r>
      <w:r>
        <w:rPr>
          <w:i/>
        </w:rPr>
        <w:t xml:space="preserve"> splice spot VIX onto VX futures (term structure/contango) — spot is context only. VXX/VIXY suffer roll decay; not buy-and-hold instruments.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4. Treasuries &amp; Fixed Income (futures + ETFs + history)</w:t>
      </w:r>
    </w:p>
    <w:p>
      <w:pPr>
        <w:pStyle w:val="Heading3"/>
      </w:pPr>
      <w:r>
        <w:t>4a. Treasury exposures by tenor (futures + ETF, stitched)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Tenor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Treasury ETF(s)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Deep history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Bills (0–3mo)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ZQ 1988-10 · SR3/SR1 2018 (Eurodollar </w:t>
            </w:r>
            <w:r>
              <w:rPr>
                <w:b/>
                <w:sz w:val="17"/>
              </w:rPr>
              <w:t>1981</w:t>
            </w:r>
            <w:r>
              <w:rPr>
                <w:sz w:val="17"/>
              </w:rPr>
              <w:t>→SOFR)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BIL 2007 · SHV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TB3MS </w:t>
            </w:r>
            <w:r>
              <w:rPr>
                <w:b/>
                <w:sz w:val="17"/>
              </w:rPr>
              <w:t>1934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1–3y (~2Y)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ZT 1990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SHY 2002</w:t>
            </w:r>
            <w:r>
              <w:rPr>
                <w:sz w:val="17"/>
              </w:rPr>
              <w:t xml:space="preserve"> · VGSH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DGS2 1976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3–7y (~5Y)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ZF 1988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IEI 2007 · VGIT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DGS5 1962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7–10y (~10Y)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ZN 1982</w:t>
            </w:r>
            <w:r>
              <w:rPr>
                <w:sz w:val="17"/>
              </w:rPr>
              <w:t xml:space="preserve"> · TN 2016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IEF 2002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DGS10 </w:t>
            </w:r>
            <w:r>
              <w:rPr>
                <w:b/>
                <w:sz w:val="17"/>
              </w:rPr>
              <w:t>1962</w:t>
            </w:r>
            <w:r>
              <w:rPr>
                <w:sz w:val="17"/>
              </w:rPr>
              <w:t xml:space="preserve">, GS10 </w:t>
            </w:r>
            <w:r>
              <w:rPr>
                <w:b/>
                <w:sz w:val="17"/>
              </w:rPr>
              <w:t>1953</w:t>
            </w:r>
            <w:r>
              <w:rPr>
                <w:sz w:val="17"/>
              </w:rPr>
              <w:t xml:space="preserve">, Shiller </w:t>
            </w:r>
            <w:r>
              <w:rPr>
                <w:b/>
                <w:sz w:val="17"/>
              </w:rPr>
              <w:t>1871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10–20y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TLH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20y+ (long)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ZB 1977</w:t>
            </w:r>
            <w:r>
              <w:rPr>
                <w:sz w:val="17"/>
              </w:rPr>
              <w:t xml:space="preserve"> · UB 2010 (splice ZB→UB)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TLT 2002</w:t>
            </w:r>
            <w:r>
              <w:rPr>
                <w:sz w:val="17"/>
              </w:rPr>
              <w:t xml:space="preserve"> · VGLT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Bloomberg Long Tsy TR </w:t>
            </w:r>
            <w:r>
              <w:rPr>
                <w:b/>
                <w:sz w:val="17"/>
              </w:rPr>
              <w:t>1973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STRIPS 25–30y (zero-coupon)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EDV 2007 · ZROZ 2009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Broad Treasury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GOVT 2012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Bloomberg US Tsy TR </w:t>
            </w:r>
            <w:r>
              <w:rPr>
                <w:b/>
                <w:sz w:val="17"/>
              </w:rPr>
              <w:t>1973</w:t>
            </w:r>
          </w:p>
        </w:tc>
      </w:tr>
    </w:tbl>
    <w:p>
      <w:pPr>
        <w:ind w:left="432"/>
        <w:shd w:val="clear" w:fill="EEF3FB"/>
      </w:pPr>
      <w:r>
        <w:rPr>
          <w:i/>
        </w:rPr>
        <w:t xml:space="preserve">ZB's deliverable basket drifted shorter — splice </w:t>
      </w:r>
      <w:r>
        <w:rPr>
          <w:b/>
          <w:i/>
        </w:rPr>
        <w:t>ZB→UB</w:t>
      </w:r>
      <w:r>
        <w:rPr>
          <w:i/>
        </w:rPr>
        <w:t xml:space="preserve"> (back-adjust) for a constant long-end. Treasury ETFs are all 2002-and-later (first iShares Treasury ETFs </w:t>
      </w:r>
      <w:r>
        <w:rPr>
          <w:b/>
          <w:i/>
        </w:rPr>
        <w:t>2002-07-22</w:t>
      </w:r>
      <w:r>
        <w:rPr>
          <w:i/>
        </w:rPr>
        <w:t xml:space="preserve">), so for pre-2002 history splice to the Bloomberg (ex-Barclays/Lehman) Treasury TR sub-indices (Long Treasury TR to </w:t>
      </w:r>
      <w:r>
        <w:rPr>
          <w:b/>
          <w:i/>
        </w:rPr>
        <w:t>1973</w:t>
      </w:r>
      <w:r>
        <w:rPr>
          <w:i/>
        </w:rPr>
        <w:t>) or reconstruct from FRED constant-maturity yields (</w:t>
      </w:r>
      <w:r>
        <w:rPr>
          <w:b/>
          <w:i/>
        </w:rPr>
        <w:t>1962</w:t>
      </w:r>
      <w:r>
        <w:rPr>
          <w:i/>
        </w:rPr>
        <w:t>).</w:t>
      </w:r>
    </w:p>
    <w:p>
      <w:pPr>
        <w:pStyle w:val="Heading3"/>
      </w:pPr>
      <w:r>
        <w:t>4b. Broader fixed income (credit / aggregate ETFs)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Splice to (earliest)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US Aggregate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AGG 2003</w:t>
            </w:r>
            <w:r>
              <w:rPr>
                <w:sz w:val="17"/>
              </w:rPr>
              <w:t xml:space="preserve"> · BND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Agg TR </w:t>
            </w:r>
            <w:r>
              <w:rPr>
                <w:b/>
                <w:sz w:val="17"/>
              </w:rPr>
              <w:t>1976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IG corporate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LQD 2002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Corp IG TR </w:t>
            </w:r>
            <w:r>
              <w:rPr>
                <w:b/>
                <w:sz w:val="17"/>
              </w:rPr>
              <w:t>1973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High yield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HYG 2007</w:t>
            </w:r>
            <w:r>
              <w:rPr>
                <w:sz w:val="17"/>
              </w:rPr>
              <w:t xml:space="preserve"> · JNK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HY TR </w:t>
            </w:r>
            <w:r>
              <w:rPr>
                <w:b/>
                <w:sz w:val="17"/>
              </w:rPr>
              <w:t>1983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TIPS (inflation)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TIP 2003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Bloomberg US TIPS ~</w:t>
            </w:r>
            <w:r>
              <w:rPr>
                <w:b/>
                <w:sz w:val="17"/>
              </w:rPr>
              <w:t>1997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Agency MBS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MBB 2007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Bloomberg US MBS </w:t>
            </w:r>
            <w:r>
              <w:rPr>
                <w:b/>
                <w:sz w:val="17"/>
              </w:rPr>
              <w:t>1976</w:t>
            </w:r>
          </w:p>
        </w:tc>
      </w:tr>
    </w:tbl>
    <w:p>
      <w:pPr>
        <w:pStyle w:val="Heading3"/>
      </w:pPr>
      <w:r>
        <w:t>4c. Yield &amp; total-return history (the deep backbone)</w:t>
      </w:r>
    </w:p>
    <w:p>
      <w:r>
        <w:rPr>
          <w:b/>
        </w:rPr>
        <w:t>Yields (FRED; not returns):</w:t>
      </w:r>
      <w:r>
        <w:t xml:space="preserve"> Shiller long rate </w:t>
      </w:r>
      <w:r>
        <w:rPr>
          <w:b/>
        </w:rPr>
        <w:t>1871</w:t>
      </w:r>
      <w:r>
        <w:t xml:space="preserve"> → GS10 monthly </w:t>
      </w:r>
      <w:r>
        <w:rPr>
          <w:b/>
        </w:rPr>
        <w:t>1953</w:t>
      </w:r>
      <w:r>
        <w:t xml:space="preserve"> → DGS10 daily</w:t>
      </w:r>
    </w:p>
    <w:p>
      <w:r>
        <w:rPr>
          <w:b/>
        </w:rPr>
        <w:t>1962</w:t>
      </w:r>
      <w:r>
        <w:t xml:space="preserve">; short rate TB3MS </w:t>
      </w:r>
      <w:r>
        <w:rPr>
          <w:b/>
        </w:rPr>
        <w:t>1934</w:t>
      </w:r>
      <w:r>
        <w:t xml:space="preserve">; DGS30 1977 (gap 2002–06). </w:t>
      </w:r>
      <w:r>
        <w:rPr>
          <w:b/>
        </w:rPr>
        <w:t>Total return (for backtests):</w:t>
      </w:r>
    </w:p>
    <w:p>
      <w:r>
        <w:t xml:space="preserve">Damodaran 10Y </w:t>
      </w:r>
      <w:r>
        <w:rPr>
          <w:b/>
        </w:rPr>
        <w:t>1928</w:t>
      </w:r>
      <w:r>
        <w:t xml:space="preserve"> (annual), Ibbotson/SBBI </w:t>
      </w:r>
      <w:r>
        <w:rPr>
          <w:b/>
        </w:rPr>
        <w:t>1926</w:t>
      </w:r>
      <w:r>
        <w:t xml:space="preserve"> (pre-1977 modeled), Bloomberg US Agg </w:t>
      </w:r>
      <w:r>
        <w:rPr>
          <w:b/>
        </w:rPr>
        <w:t>1976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5. Commodities — Energy, Base Metals, Precious Metals (futures + ETF + spot)</w:t>
      </w:r>
    </w:p>
    <w:p>
      <w:r>
        <w:t>No micros; no grains/softs/livestock. Futures-backed ETFs track a **rolled-futures index, not</w:t>
      </w:r>
    </w:p>
    <w:p>
      <w:r>
        <w:t>spot** (they diverge under contango); physical-metal ETFs track spot.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Exposure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Futures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ETF (inception)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Deep spot/annual history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WTI crude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CL 1983-03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USO 2006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WTI annual </w:t>
            </w:r>
            <w:r>
              <w:rPr>
                <w:b/>
                <w:sz w:val="17"/>
              </w:rPr>
              <w:t>1946</w:t>
            </w:r>
            <w:r>
              <w:rPr>
                <w:sz w:val="17"/>
              </w:rPr>
              <w:t>, EIA daily 1986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Brent crude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BZ 1988-06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BNO 2010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Brent spot </w:t>
            </w:r>
            <w:r>
              <w:rPr>
                <w:b/>
                <w:sz w:val="17"/>
              </w:rPr>
              <w:t>1987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Natural gas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NG 1990-04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UNG 2007 (roll; contango drag)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EIA Henry Hub spot 1997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Heating oil/ULSD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HO 1978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(in DBE)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Gasoline (RBOB)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RB 2005-10 (HU 1984)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UGA 2008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Energy basket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DBC 2006 · DBE 2007 · GSG 2006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DBIQ ~1989 / GSCI </w:t>
            </w:r>
            <w:r>
              <w:rPr>
                <w:b/>
                <w:sz w:val="17"/>
              </w:rPr>
              <w:t>1970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Gold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GC 1974-12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GLD 2004</w:t>
            </w:r>
            <w:r>
              <w:rPr>
                <w:sz w:val="17"/>
              </w:rPr>
              <w:t xml:space="preserve"> · IAU · SGOL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gold annual </w:t>
            </w:r>
            <w:r>
              <w:rPr>
                <w:b/>
                <w:sz w:val="17"/>
              </w:rPr>
              <w:t>1833</w:t>
            </w:r>
            <w:r>
              <w:rPr>
                <w:sz w:val="17"/>
              </w:rPr>
              <w:t xml:space="preserve">, LBMA fix </w:t>
            </w:r>
            <w:r>
              <w:rPr>
                <w:b/>
                <w:sz w:val="17"/>
              </w:rPr>
              <w:t>1968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Silver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SI 1963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SLV 2006</w:t>
            </w:r>
            <w:r>
              <w:rPr>
                <w:sz w:val="17"/>
              </w:rPr>
              <w:t xml:space="preserve"> · SIVR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LBMA silver; continuous ~1975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Platinum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PL 1956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PPLT 2010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platinum spot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Palladium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 1968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PALL 2010 (spot)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palladium spot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7"/>
              </w:rPr>
              <w:t>Copper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HG 1988-07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CPER 2011 (roll)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 xml:space="preserve">copper </w:t>
            </w:r>
            <w:r>
              <w:rPr>
                <w:b/>
                <w:sz w:val="17"/>
              </w:rPr>
              <w:t>1959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Aluminum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ALI 2014-05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(none liquid US)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LME for deep history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  <w:t>Precious basket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DBP 2007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  <w:t>—</w:t>
            </w:r>
          </w:p>
        </w:tc>
      </w:tr>
    </w:tbl>
    <w:p>
      <w:r>
        <w:rPr>
          <w:b/>
        </w:rPr>
        <w:t>Broad commodity indices (deep splice anchors):</w:t>
      </w:r>
      <w:r>
        <w:t xml:space="preserve"> CRB </w:t>
      </w:r>
      <w:r>
        <w:rPr>
          <w:b/>
        </w:rPr>
        <w:t>1957</w:t>
      </w:r>
      <w:r>
        <w:t xml:space="preserve"> (oldest live), S&amp;P GSCI back-tested</w:t>
      </w:r>
    </w:p>
    <w:p>
      <w:r>
        <w:rPr>
          <w:b/>
        </w:rPr>
        <w:t>1970</w:t>
      </w:r>
      <w:r>
        <w:t xml:space="preserve">, Bloomberg BCOM back-calc </w:t>
      </w:r>
      <w:r>
        <w:rPr>
          <w:b/>
        </w:rPr>
        <w:t>1960</w:t>
      </w:r>
      <w:r>
        <w:t xml:space="preserve"> (GSCI/BCOM pre-1991 are hypothetical — flag in backtests).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6. Deep-history index/price backbone (splice anchors)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  <w:t>Series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Earliest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Free source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Shiller S&amp;P Composite (monthly real TR)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1871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econ.yale.edu/~shiller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Ken French US market TR (daily)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1926-07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Dartmouth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Dow Jones Industrial Average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1896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S&amp;P DJI / </w:t>
            </w:r>
            <w:r>
              <w:rPr>
                <w:rFonts w:ascii="Consolas" w:hAnsi="Consolas"/>
                <w:sz w:val="17"/>
              </w:rPr>
              <w:t>^DJI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S&amp;P 500 (official)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1957</w:t>
            </w:r>
            <w:r>
              <w:rPr>
                <w:sz w:val="17"/>
              </w:rPr>
              <w:t xml:space="preserve"> (TR daily 1988)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 xml:space="preserve">FRED / </w:t>
            </w:r>
            <w:r>
              <w:rPr>
                <w:rFonts w:ascii="Consolas" w:hAnsi="Consolas"/>
                <w:sz w:val="17"/>
              </w:rPr>
              <w:t>^GSPC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Damodaran asset-class annual TR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1928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NYU Stern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Gold annual (NMA)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1833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nma.org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WTI annual (Macrotrends)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1946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macrotrends.net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  <w:t>VIX index (VXO methodology)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  <w:t>1986</w:t>
            </w:r>
            <w:r>
              <w:rPr>
                <w:sz w:val="17"/>
              </w:rPr>
              <w:t xml:space="preserve"> (VIX 1990)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  <w:t>Cboe</w:t>
            </w:r>
          </w:p>
        </w:tc>
      </w:tr>
    </w:tbl>
    <w:p>
      <w:pPr>
        <w:pBdr>
          <w:bottom w:val="single" w:sz="6" w:space="1" w:color="999999"/>
        </w:pBdr>
      </w:pPr>
    </w:p>
    <w:p>
      <w:pPr>
        <w:pStyle w:val="Heading2"/>
      </w:pPr>
      <w:r>
        <w:t>7. Data vendors by access tier</w:t>
      </w:r>
    </w:p>
    <w:p>
      <w:pPr>
        <w:pStyle w:val="ListBullet"/>
      </w:pPr>
      <w:r>
        <w:rPr>
          <w:b/>
        </w:rPr>
        <w:t>Free, offline-capable here:</w:t>
      </w:r>
      <w:r>
        <w:t xml:space="preserve"> synthetic + CSV; plus the free deep-history *files* (Shiller,</w:t>
      </w:r>
    </w:p>
    <w:p>
      <w:r>
        <w:t>Ken French, Damodaran, NMA gold, FRED) — static CSV, committable as offline fixtures.</w:t>
      </w:r>
    </w:p>
    <w:p>
      <w:pPr>
        <w:pStyle w:val="ListBullet"/>
      </w:pPr>
      <w:r>
        <w:rPr>
          <w:b/>
        </w:rPr>
        <w:t>Freemium + key (network-gated):</w:t>
      </w:r>
      <w:r>
        <w:t xml:space="preserve"> Tiingo (best free real EOD; equities/ETFs to 1962), Polygon,</w:t>
      </w:r>
    </w:p>
    <w:p>
      <w:r>
        <w:t>Alpha Vantage; Stooq / yfinance / FRED-API (free, network-gated).</w:t>
      </w:r>
    </w:p>
    <w:p>
      <w:pPr>
        <w:pStyle w:val="ListBullet"/>
      </w:pPr>
      <w:r>
        <w:rPr>
          <w:b/>
        </w:rPr>
        <w:t>Paid, systematic-grade:</w:t>
      </w:r>
      <w:r>
        <w:t xml:space="preserve"> </w:t>
      </w:r>
      <w:r>
        <w:rPr>
          <w:b/>
        </w:rPr>
        <w:t>Norgate</w:t>
      </w:r>
      <w:r>
        <w:t xml:space="preserve"> (stocks 1950 + futures, survivorship-free, best value),</w:t>
      </w:r>
    </w:p>
    <w:p>
      <w:r>
        <w:rPr>
          <w:b/>
        </w:rPr>
        <w:t>CSI</w:t>
      </w:r>
      <w:r>
        <w:t xml:space="preserve"> (deepest futures), </w:t>
      </w:r>
      <w:r>
        <w:rPr>
          <w:b/>
        </w:rPr>
        <w:t>Pinnacle</w:t>
      </w:r>
      <w:r>
        <w:t xml:space="preserve"> (deep futures), </w:t>
      </w:r>
      <w:r>
        <w:rPr>
          <w:b/>
        </w:rPr>
        <w:t>Stevens/SCF</w:t>
      </w:r>
      <w:r>
        <w:t xml:space="preserve">, </w:t>
      </w:r>
      <w:r>
        <w:rPr>
          <w:b/>
        </w:rPr>
        <w:t>Sharadar</w:t>
      </w:r>
      <w:r>
        <w:t xml:space="preserve"> (bias-free</w:t>
      </w:r>
    </w:p>
    <w:p>
      <w:r>
        <w:t>equities 1998), EODHD.</w:t>
      </w:r>
    </w:p>
    <w:p>
      <w:pPr>
        <w:pStyle w:val="ListBullet"/>
      </w:pPr>
      <w:r>
        <w:rPr>
          <w:b/>
        </w:rPr>
        <w:t>Paid, institutional:</w:t>
      </w:r>
      <w:r>
        <w:t xml:space="preserve"> CRSP/WRDS (1926), Bloomberg, Refinitiv/LSEG.</w:t>
      </w:r>
    </w:p>
    <w:p>
      <w:r>
        <w:t xml:space="preserve">Futures continuous-contract vendors: </w:t>
      </w:r>
      <w:r>
        <w:rPr>
          <w:b/>
        </w:rPr>
        <w:t>Norgate / CSI / Pinnacle / Stevens-SCF</w:t>
      </w:r>
      <w:r>
        <w:t xml:space="preserve"> (the old free</w:t>
      </w:r>
    </w:p>
    <w:p>
      <w:r>
        <w:t>Quandl CHRIS is discontinued, 2018).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8. Reachability from this build environment</w:t>
      </w:r>
    </w:p>
    <w:p>
      <w:r>
        <w:t xml:space="preserve">The network allowlist blocks </w:t>
      </w:r>
      <w:r>
        <w:rPr>
          <w:b/>
        </w:rPr>
        <w:t>every</w:t>
      </w:r>
      <w:r>
        <w:t xml:space="preserve"> market-data host (only PyPI/PythonHosted/GitHub resolve).</w:t>
      </w:r>
    </w:p>
    <w:p>
      <w:r>
        <w:t xml:space="preserve">The system runs here on </w:t>
      </w:r>
      <w:r>
        <w:rPr>
          <w:b/>
        </w:rPr>
        <w:t>synthetic + committed CSV fixtures</w:t>
      </w:r>
      <w:r>
        <w:t>; this catalog is the *sourcing plan*</w:t>
      </w:r>
    </w:p>
    <w:p>
      <w:r>
        <w:t>for when it runs where a network path or paid vendor exists. The free deep-history files</w:t>
      </w:r>
    </w:p>
    <w:p>
      <w:r>
        <w:t>(Shiller/French/Damodaran/NMA/FRED) are static downloads committable as offline fixtures.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9. Machine-readable catalog</w:t>
      </w:r>
    </w:p>
    <w:p>
      <w:r>
        <w:rPr>
          <w:rFonts w:ascii="Consolas" w:hAnsi="Consolas"/>
          <w:sz w:val="19"/>
        </w:rPr>
        <w:t>docs/instrument_universe.csv</w:t>
      </w:r>
      <w:r>
        <w:t xml:space="preserve"> — one row per instrument. Schema:</w:t>
      </w:r>
    </w:p>
    <w:p>
      <w:pPr>
        <w:shd w:val="clear" w:fill="F2F2F2"/>
        <w:ind w:left="216"/>
      </w:pPr>
      <w:r>
        <w:rPr>
          <w:rFonts w:ascii="Consolas" w:hAnsi="Consolas"/>
          <w:sz w:val="18"/>
        </w:rPr>
        <w:t>asset_class, symbol, description, instrument_type, native_start,</w:t>
        <w:br/>
        <w:t>max_history_start, history_source, splice_chain, live_source, confidence, notes</w:t>
      </w:r>
    </w:p>
    <w:p>
      <w:r>
        <w:t xml:space="preserve">Asset classes: </w:t>
      </w:r>
      <w:r>
        <w:rPr>
          <w:rFonts w:ascii="Consolas" w:hAnsi="Consolas"/>
          <w:sz w:val="19"/>
        </w:rPr>
        <w:t>equity_universe</w:t>
      </w:r>
      <w:r>
        <w:t xml:space="preserve">, </w:t>
      </w:r>
      <w:r>
        <w:rPr>
          <w:rFonts w:ascii="Consolas" w:hAnsi="Consolas"/>
          <w:sz w:val="19"/>
        </w:rPr>
        <w:t>equity</w:t>
      </w:r>
      <w:r>
        <w:t xml:space="preserve">, </w:t>
      </w:r>
      <w:r>
        <w:rPr>
          <w:rFonts w:ascii="Consolas" w:hAnsi="Consolas"/>
          <w:sz w:val="19"/>
        </w:rPr>
        <w:t>equity_index</w:t>
      </w:r>
      <w:r>
        <w:t xml:space="preserve">, </w:t>
      </w:r>
      <w:r>
        <w:rPr>
          <w:rFonts w:ascii="Consolas" w:hAnsi="Consolas"/>
          <w:sz w:val="19"/>
        </w:rPr>
        <w:t>equity_index_future</w:t>
      </w:r>
      <w:r>
        <w:t xml:space="preserve">, </w:t>
      </w:r>
      <w:r>
        <w:rPr>
          <w:rFonts w:ascii="Consolas" w:hAnsi="Consolas"/>
          <w:sz w:val="19"/>
        </w:rPr>
        <w:t>etf</w:t>
      </w:r>
      <w:r>
        <w:t>,</w:t>
      </w:r>
    </w:p>
    <w:p>
      <w:r>
        <w:rPr>
          <w:rFonts w:ascii="Consolas" w:hAnsi="Consolas"/>
          <w:sz w:val="19"/>
        </w:rPr>
        <w:t>vol_future</w:t>
      </w:r>
      <w:r>
        <w:t xml:space="preserve">, </w:t>
      </w:r>
      <w:r>
        <w:rPr>
          <w:rFonts w:ascii="Consolas" w:hAnsi="Consolas"/>
          <w:sz w:val="19"/>
        </w:rPr>
        <w:t>vol_etf</w:t>
      </w:r>
      <w:r>
        <w:t xml:space="preserve">, </w:t>
      </w:r>
      <w:r>
        <w:rPr>
          <w:rFonts w:ascii="Consolas" w:hAnsi="Consolas"/>
          <w:sz w:val="19"/>
        </w:rPr>
        <w:t>treasury_future</w:t>
      </w:r>
      <w:r>
        <w:t xml:space="preserve">, </w:t>
      </w:r>
      <w:r>
        <w:rPr>
          <w:rFonts w:ascii="Consolas" w:hAnsi="Consolas"/>
          <w:sz w:val="19"/>
        </w:rPr>
        <w:t>treasury_etf</w:t>
      </w:r>
      <w:r>
        <w:t xml:space="preserve">, </w:t>
      </w:r>
      <w:r>
        <w:rPr>
          <w:rFonts w:ascii="Consolas" w:hAnsi="Consolas"/>
          <w:sz w:val="19"/>
        </w:rPr>
        <w:t>credit_etf</w:t>
      </w:r>
      <w:r>
        <w:t xml:space="preserve">, </w:t>
      </w:r>
      <w:r>
        <w:rPr>
          <w:rFonts w:ascii="Consolas" w:hAnsi="Consolas"/>
          <w:sz w:val="19"/>
        </w:rPr>
        <w:t>rate_series</w:t>
      </w:r>
      <w:r>
        <w:t>,</w:t>
      </w:r>
    </w:p>
    <w:p>
      <w:r>
        <w:rPr>
          <w:rFonts w:ascii="Consolas" w:hAnsi="Consolas"/>
          <w:sz w:val="19"/>
        </w:rPr>
        <w:t>bond_total_return</w:t>
      </w:r>
      <w:r>
        <w:t xml:space="preserve">, </w:t>
      </w:r>
      <w:r>
        <w:rPr>
          <w:rFonts w:ascii="Consolas" w:hAnsi="Consolas"/>
          <w:sz w:val="19"/>
        </w:rPr>
        <w:t>commodity_future</w:t>
      </w:r>
      <w:r>
        <w:t xml:space="preserve">, </w:t>
      </w:r>
      <w:r>
        <w:rPr>
          <w:rFonts w:ascii="Consolas" w:hAnsi="Consolas"/>
          <w:sz w:val="19"/>
        </w:rPr>
        <w:t>commodity_etf</w:t>
      </w:r>
      <w:r>
        <w:t xml:space="preserve">, </w:t>
      </w:r>
      <w:r>
        <w:rPr>
          <w:rFonts w:ascii="Consolas" w:hAnsi="Consolas"/>
          <w:sz w:val="19"/>
        </w:rPr>
        <w:t>commodity_index</w:t>
      </w:r>
      <w:r>
        <w:t xml:space="preserve">, </w:t>
      </w:r>
      <w:r>
        <w:rPr>
          <w:rFonts w:ascii="Consolas" w:hAnsi="Consolas"/>
          <w:sz w:val="19"/>
        </w:rPr>
        <w:t>commodity_spot</w:t>
      </w:r>
      <w:r>
        <w:t>.</w:t>
      </w:r>
    </w:p>
    <w:p>
      <w:r>
        <w:t xml:space="preserve">Intended as the seed for </w:t>
      </w:r>
      <w:r>
        <w:rPr>
          <w:rFonts w:ascii="Consolas" w:hAnsi="Consolas"/>
          <w:sz w:val="19"/>
        </w:rPr>
        <w:t>StrategySpec.universe</w:t>
      </w:r>
      <w:r>
        <w:t>.</w:t>
      </w:r>
    </w:p>
    <w:p>
      <w:pPr>
        <w:pBdr>
          <w:bottom w:val="single" w:sz="6" w:space="1" w:color="999999"/>
        </w:pBdr>
      </w:pPr>
    </w:p>
    <w:p>
      <w:pPr>
        <w:pStyle w:val="Heading2"/>
      </w:pPr>
      <w:r>
        <w:t>10. Verification caveats</w:t>
      </w:r>
    </w:p>
    <w:p>
      <w:r>
        <w:t>Publisher/exchange/FRED pages largely block automated fetch (403); dates verified via concurring</w:t>
      </w:r>
    </w:p>
    <w:p>
      <w:r>
        <w:t xml:space="preserve">secondary indexes and issuer pages, per-row </w:t>
      </w:r>
      <w:r>
        <w:rPr>
          <w:rFonts w:ascii="Consolas" w:hAnsi="Consolas"/>
          <w:sz w:val="19"/>
        </w:rPr>
        <w:t>[H]/[M]/[L]</w:t>
      </w:r>
      <w:r>
        <w:t xml:space="preserve">. Added ETF inception dates flagged </w:t>
      </w:r>
      <w:r>
        <w:rPr>
          <w:rFonts w:ascii="Consolas" w:hAnsi="Consolas"/>
          <w:sz w:val="19"/>
        </w:rPr>
        <w:t>[M]</w:t>
      </w:r>
    </w:p>
    <w:p>
      <w:r>
        <w:t>("verify day") come from known issuer facts, not a live fetch — confirm exact first-trade days in</w:t>
      </w:r>
    </w:p>
    <w:p>
      <w:r>
        <w:t>the prospectus/SEC 497 if day-level precision matters (especially the Vanguard/abrdn/Invesco lines:</w:t>
      </w:r>
    </w:p>
    <w:p>
      <w:r>
        <w:t>VGSH/VGIT/VGLT, EDV, ZROZ, SGOL/SIVR/PPLT/PALL, CPER, BNO, UGA, DBE, DBP, IEI, TLH, SHV). Futures</w:t>
      </w:r>
    </w:p>
    <w:p>
      <w:r>
        <w:t>continuous-series start dates are vendor-dependent; commodity futures here all have modern contracts</w:t>
      </w:r>
    </w:p>
    <w:p>
      <w:r>
        <w:t>whose vendor data ≈ inception (energy/metals), unlike the (now-excluded) grains/softs.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