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52"/>
        </w:rPr>
        <w:t>Portfolio Risk Budgeting System</w:t>
      </w:r>
    </w:p>
    <w:p>
      <w:pPr>
        <w:jc w:val="center"/>
      </w:pPr>
      <w:r>
        <w:rPr>
          <w:color w:val="444444"/>
          <w:sz w:val="30"/>
        </w:rPr>
        <w:t>Data Sources &amp; Feeds</w:t>
      </w:r>
    </w:p>
    <w:p>
      <w:pPr>
        <w:jc w:val="center"/>
      </w:pPr>
      <w:r>
        <w:rPr>
          <w:sz w:val="20"/>
        </w:rPr>
        <w:t>Generated 2026-05-31  ·  branch claude/portfolio-risk-budgeting-plan-ahVMe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"Update Field"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Part I — Where the data feeds are</w:t>
      </w:r>
    </w:p>
    <w:p>
      <w:r>
        <w:t xml:space="preserve">Every data feed implements the </w:t>
      </w:r>
      <w:r>
        <w:rPr>
          <w:rFonts w:ascii="Consolas" w:hAnsi="Consolas"/>
          <w:sz w:val="19"/>
        </w:rPr>
        <w:t>DataSource</w:t>
      </w:r>
      <w:r>
        <w:t xml:space="preserve"> protocol from </w:t>
      </w:r>
      <w:r>
        <w:rPr>
          <w:rFonts w:ascii="Consolas" w:hAnsi="Consolas"/>
          <w:sz w:val="19"/>
        </w:rPr>
        <w:t>riskbudget/core/interfaces.py</w:t>
      </w:r>
    </w:p>
    <w:p>
      <w:r>
        <w:t>(</w:t>
      </w:r>
      <w:r>
        <w:rPr>
          <w:rFonts w:ascii="Consolas" w:hAnsi="Consolas"/>
          <w:sz w:val="19"/>
        </w:rPr>
        <w:t>get_prices(assets, start, end) -&gt; PriceData</w:t>
      </w:r>
      <w:r>
        <w:t>) and is exposed as a registry-friendly</w:t>
      </w:r>
    </w:p>
    <w:p>
      <w:r>
        <w:t>factory (BUILD_PLAN §5.2). Simulation is separate (it generates scenarios, it is not a</w:t>
      </w:r>
    </w:p>
    <w:p>
      <w:r>
        <w:t>live feed). Here is the complete map of where each feed lives in the code.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  <w:t>Feed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What it is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Module · class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Registry factory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Network?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Status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  <w:t>Tests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Synthetic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Seeded correlated-return generator; sample covariance converges to a known target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riskbudget/data/synthetic.py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SyntheticDataSource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synthetic_data_source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Primary offline backbone (CI, examples, dashboard)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tests/test_data_synthetic.py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CSV / Parquet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Loads your own price files (index=dates, columns=assets)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riskbudget/data/csvsource.py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CsvDataSource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csv_data_source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Production loader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tests/test_data_csvsource.py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Tiingo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Real EOD provider — split/dividend-adjusted closes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riskbudget/data/providers/tiingo.py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TiingoDataSource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tiingo_data_source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Yes (</w:t>
            </w:r>
            <w:r>
              <w:rPr>
                <w:rFonts w:ascii="Consolas" w:hAnsi="Consolas"/>
                <w:sz w:val="18"/>
              </w:rPr>
              <w:t>.live</w:t>
            </w:r>
            <w:r>
              <w:rPr>
                <w:sz w:val="18"/>
              </w:rPr>
              <w:t>) / No (</w:t>
            </w:r>
            <w:r>
              <w:rPr>
                <w:rFonts w:ascii="Consolas" w:hAnsi="Consolas"/>
                <w:sz w:val="18"/>
              </w:rPr>
              <w:t>.from_fixtures</w:t>
            </w:r>
            <w:r>
              <w:rPr>
                <w:sz w:val="18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Prototype, fixture-backed, network-gated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tests/test_data_provider.py</w:t>
            </w:r>
          </w:p>
        </w:tc>
      </w:tr>
      <w:tr>
        <w:tc>
          <w:tcPr>
            <w:tcW w:type="dxa" w:w="1234"/>
          </w:tcPr>
          <w:p>
            <w:r>
              <w:rPr>
                <w:b/>
                <w:sz w:val="18"/>
              </w:rPr>
              <w:t>GBM simulation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Monte-Carlo geometric-Brownian-motion scenario paths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riskbudget/simulate/gbm.py</w:t>
            </w:r>
            <w:r>
              <w:rPr>
                <w:sz w:val="18"/>
              </w:rPr>
              <w:t xml:space="preserve"> · </w:t>
            </w:r>
            <w:r>
              <w:rPr>
                <w:rFonts w:ascii="Consolas" w:hAnsi="Consolas"/>
                <w:sz w:val="18"/>
              </w:rPr>
              <w:t>gbm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gbm_price_data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 xml:space="preserve">n/a (simulation, not a </w:t>
            </w:r>
            <w:r>
              <w:rPr>
                <w:rFonts w:ascii="Consolas" w:hAnsi="Consolas"/>
                <w:sz w:val="18"/>
              </w:rPr>
              <w:t>DataSource</w:t>
            </w:r>
            <w:r>
              <w:rPr>
                <w:sz w:val="18"/>
              </w:rPr>
              <w:t>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No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Scenario / stress-test generation</w:t>
            </w:r>
          </w:p>
        </w:tc>
        <w:tc>
          <w:tcPr>
            <w:tcW w:type="dxa" w:w="1234"/>
          </w:tcPr>
          <w:p>
            <w:r>
              <w:rPr>
                <w:rFonts w:ascii="Consolas" w:hAnsi="Consolas"/>
                <w:sz w:val="18"/>
              </w:rPr>
              <w:t>tests/test_simulate_gbm.py</w:t>
            </w:r>
          </w:p>
        </w:tc>
      </w:tr>
    </w:tbl>
    <w:p>
      <w:pPr>
        <w:pStyle w:val="Heading3"/>
      </w:pPr>
      <w:r>
        <w:t>Recorded data committed to the repo</w:t>
      </w:r>
    </w:p>
    <w:p>
      <w:pPr>
        <w:pStyle w:val="ListBullet"/>
      </w:pPr>
      <w:r>
        <w:rPr>
          <w:rFonts w:ascii="Consolas" w:hAnsi="Consolas"/>
          <w:sz w:val="19"/>
        </w:rPr>
        <w:t>riskbudget/data/providers/fixtures/tiingo/AAPL.json</w:t>
      </w:r>
      <w:r>
        <w:t xml:space="preserve"> — 40 daily Tiingo records (exact API JSON shape)</w:t>
      </w:r>
    </w:p>
    <w:p>
      <w:pPr>
        <w:pStyle w:val="ListBullet"/>
      </w:pPr>
      <w:r>
        <w:rPr>
          <w:rFonts w:ascii="Consolas" w:hAnsi="Consolas"/>
          <w:sz w:val="19"/>
        </w:rPr>
        <w:t>riskbudget/data/providers/fixtures/tiingo/MSFT.json</w:t>
      </w:r>
      <w:r>
        <w:t xml:space="preserve"> — 40 daily Tiingo records</w:t>
      </w:r>
    </w:p>
    <w:p>
      <w:r>
        <w:t>These back the offline Tiingo tests so the live-parsing path is exercised without a network call.</w:t>
      </w:r>
    </w:p>
    <w:p>
      <w:pPr>
        <w:pStyle w:val="Heading3"/>
      </w:pPr>
      <w:r>
        <w:t>What actually runs where</w:t>
      </w:r>
    </w:p>
    <w:p>
      <w:pPr>
        <w:pStyle w:val="ListBullet"/>
      </w:pPr>
      <w:r>
        <w:rPr>
          <w:b/>
        </w:rPr>
        <w:t>CI / tests / examples / dashboard (this environment):</w:t>
      </w:r>
      <w:r>
        <w:t xml:space="preserve"> </w:t>
      </w:r>
      <w:r>
        <w:rPr>
          <w:rFonts w:ascii="Consolas" w:hAnsi="Consolas"/>
          <w:sz w:val="19"/>
        </w:rPr>
        <w:t>synthetic</w:t>
      </w:r>
      <w:r>
        <w:t xml:space="preserve"> + </w:t>
      </w:r>
      <w:r>
        <w:rPr>
          <w:rFonts w:ascii="Consolas" w:hAnsi="Consolas"/>
          <w:sz w:val="19"/>
        </w:rPr>
        <w:t>csv</w:t>
      </w:r>
      <w:r>
        <w:t xml:space="preserve"> only — they need no network, no API key, no third-party host, and are deterministic via an explicit seed.</w:t>
      </w:r>
    </w:p>
    <w:p>
      <w:pPr>
        <w:pStyle w:val="ListBullet"/>
      </w:pPr>
      <w:r>
        <w:rPr>
          <w:b/>
        </w:rPr>
        <w:t>Real prices (where a network path exists):</w:t>
      </w:r>
      <w:r>
        <w:t xml:space="preserve"> </w:t>
      </w:r>
      <w:r>
        <w:rPr>
          <w:rFonts w:ascii="Consolas" w:hAnsi="Consolas"/>
          <w:sz w:val="19"/>
        </w:rPr>
        <w:t>TiingoDataSource.live(api_key)</w:t>
      </w:r>
      <w:r>
        <w:t xml:space="preserve"> — set </w:t>
      </w:r>
      <w:r>
        <w:rPr>
          <w:rFonts w:ascii="Consolas" w:hAnsi="Consolas"/>
          <w:sz w:val="19"/>
        </w:rPr>
        <w:t>TIINGO_API_KEY</w:t>
      </w:r>
      <w:r>
        <w:t xml:space="preserve">, construct, and call </w:t>
      </w:r>
      <w:r>
        <w:rPr>
          <w:rFonts w:ascii="Consolas" w:hAnsi="Consolas"/>
          <w:sz w:val="19"/>
        </w:rPr>
        <w:t>get_prices(...)</w:t>
      </w:r>
      <w:r>
        <w:t xml:space="preserve"> unchanged. Blocked in this build environment by the network allowlist (see Part II).</w:t>
      </w:r>
    </w:p>
    <w:p>
      <w:pPr>
        <w:pStyle w:val="ListBullet"/>
      </w:pPr>
      <w:r>
        <w:rPr>
          <w:b/>
        </w:rPr>
        <w:t>Macro / risk-free rate:</w:t>
      </w:r>
      <w:r>
        <w:t xml:space="preserve"> FRED is the intended overlay (not an equity feed, not built in v1).</w:t>
      </w:r>
    </w:p>
    <w:p>
      <w:r>
        <w:t>Part II is Agent 1's full provider evaluation: the empirical network probe, the scored</w:t>
      </w:r>
    </w:p>
    <w:p>
      <w:r>
        <w:t>matrix across eight candidates, and the rationale for the Tiingo prototype. Part III is</w:t>
      </w:r>
    </w:p>
    <w:p>
      <w:r>
        <w:t>the research &amp; algorithm provenance (the non-market-data "sources" behind the methods).</w:t>
      </w:r>
    </w:p>
    <w:p>
      <w:r>
        <w:br w:type="page"/>
      </w:r>
    </w:p>
    <w:p>
      <w:pPr>
        <w:pStyle w:val="Heading1"/>
      </w:pPr>
      <w:r>
        <w:t>Part II — Provider evaluation &amp; recommendation</w:t>
      </w:r>
    </w:p>
    <w:p>
      <w:pPr>
        <w:ind w:left="432"/>
        <w:shd w:val="clear" w:fill="EEF3FB"/>
      </w:pPr>
      <w:r>
        <w:rPr>
          <w:i/>
        </w:rPr>
        <w:t xml:space="preserve">Scope: settle the market-data question for the Portfolio Risk Budgeting system with evidence (BUILD_PLAN §8), then prototype the winner. This document is the evaluation; the prototype is </w:t>
      </w:r>
      <w:r>
        <w:rPr>
          <w:rFonts w:ascii="Consolas" w:hAnsi="Consolas"/>
          <w:i/>
          <w:sz w:val="19"/>
        </w:rPr>
        <w:t>riskbudget/data/providers/tiingo.py</w:t>
      </w:r>
      <w:r>
        <w:rPr>
          <w:i/>
        </w:rPr>
        <w:t xml:space="preserve"> with offline tests in </w:t>
      </w:r>
      <w:r>
        <w:rPr>
          <w:rFonts w:ascii="Consolas" w:hAnsi="Consolas"/>
          <w:i/>
          <w:sz w:val="19"/>
        </w:rPr>
        <w:t>tests/test_data_provider.py</w:t>
      </w:r>
      <w:r>
        <w:rPr>
          <w:i/>
        </w:rPr>
        <w:t>.</w:t>
      </w:r>
    </w:p>
    <w:p>
      <w:pPr>
        <w:pStyle w:val="Heading2"/>
      </w:pPr>
      <w:r>
        <w:t>TL;DR recommendation</w:t>
      </w:r>
    </w:p>
    <w:p>
      <w:pPr>
        <w:ind w:left="432" w:hanging="288"/>
      </w:pPr>
      <w:r>
        <w:rPr>
          <w:b/>
        </w:rPr>
        <w:t xml:space="preserve">1. </w:t>
      </w:r>
      <w:r>
        <w:rPr>
          <w:b/>
        </w:rPr>
        <w:t>Ship `synthetic` + `csvsource` as the always-works core.</w:t>
      </w:r>
      <w:r>
        <w:t xml:space="preserve"> They need no</w:t>
      </w:r>
      <w:r>
        <w:t xml:space="preserve"> network, no key, and no third-party host — so the entire test-suite, CI, the</w:t>
      </w:r>
      <w:r>
        <w:t xml:space="preserve"> examples, and the dashboard run deterministically offline. This is the</w:t>
      </w:r>
      <w:r>
        <w:t xml:space="preserve"> backbone (Agent 2 owns those two modules).</w:t>
      </w:r>
    </w:p>
    <w:p>
      <w:pPr>
        <w:ind w:left="432" w:hanging="288"/>
      </w:pPr>
      <w:r>
        <w:rPr>
          <w:b/>
        </w:rPr>
        <w:t xml:space="preserve">2. </w:t>
      </w:r>
      <w:r>
        <w:rPr>
          <w:b/>
        </w:rPr>
        <w:t>Add Tiingo as the first *real* provider adapter</w:t>
      </w:r>
      <w:r>
        <w:t xml:space="preserve"> (</w:t>
      </w:r>
      <w:r>
        <w:rPr>
          <w:rFonts w:ascii="Consolas" w:hAnsi="Consolas"/>
          <w:sz w:val="19"/>
        </w:rPr>
        <w:t>data/providers/tiingo.py</w:t>
      </w:r>
      <w:r>
        <w:t>),</w:t>
      </w:r>
      <w:r>
        <w:t xml:space="preserve"> built here. Clean REST/JSON, split- and dividend-</w:t>
      </w:r>
      <w:r>
        <w:rPr>
          <w:b/>
        </w:rPr>
        <w:t>adjusted closes</w:t>
      </w:r>
      <w:r>
        <w:t>, deep</w:t>
      </w:r>
      <w:r>
        <w:t xml:space="preserve"> history, generous free tier, explicit API key (no scraping). It is the</w:t>
      </w:r>
      <w:r>
        <w:t xml:space="preserve"> recommended real-money path.</w:t>
      </w:r>
    </w:p>
    <w:p>
      <w:pPr>
        <w:ind w:left="432" w:hanging="288"/>
      </w:pPr>
      <w:r>
        <w:rPr>
          <w:b/>
        </w:rPr>
        <w:t xml:space="preserve">3. </w:t>
      </w:r>
      <w:r>
        <w:rPr>
          <w:b/>
        </w:rPr>
        <w:t>Keep yfinance as a documented convenience fallback</w:t>
      </w:r>
      <w:r>
        <w:t xml:space="preserve"> (not built in v1): zero</w:t>
      </w:r>
      <w:r>
        <w:t xml:space="preserve"> key, broad coverage, but an undocumented/unofficial endpoint with ToS and</w:t>
      </w:r>
      <w:r>
        <w:t xml:space="preserve"> stability caveats — fine for ad-hoc exploration, not for a production path.</w:t>
      </w:r>
    </w:p>
    <w:p>
      <w:pPr>
        <w:ind w:left="432" w:hanging="288"/>
      </w:pPr>
      <w:r>
        <w:rPr>
          <w:b/>
        </w:rPr>
        <w:t xml:space="preserve">4. </w:t>
      </w:r>
      <w:r>
        <w:rPr>
          <w:b/>
        </w:rPr>
        <w:t>FRED</w:t>
      </w:r>
      <w:r>
        <w:t xml:space="preserve"> is the macro/factor overlay (risk-free curve, CPI) rather than an</w:t>
      </w:r>
      <w:r>
        <w:t xml:space="preserve"> equity price source; relevant when the risk-free-rate convention (§3.1) needs</w:t>
      </w:r>
      <w:r>
        <w:t xml:space="preserve"> a real series. </w:t>
      </w:r>
      <w:r>
        <w:rPr>
          <w:b/>
        </w:rPr>
        <w:t>Polygon/EOD</w:t>
      </w:r>
      <w:r>
        <w:t xml:space="preserve"> are the noted paid options for a future</w:t>
      </w:r>
      <w:r>
        <w:t xml:space="preserve"> real-money deployment.</w:t>
      </w:r>
    </w:p>
    <w:p>
      <w:r>
        <w:rPr>
          <w:b/>
        </w:rPr>
        <w:t>This environment cannot reach any of the real providers</w:t>
      </w:r>
      <w:r>
        <w:t xml:space="preserve"> (see the probe</w:t>
      </w:r>
    </w:p>
    <w:p>
      <w:r>
        <w:t>below), so the recommendation is shaped accordingly: the real adapter is</w:t>
      </w:r>
    </w:p>
    <w:p>
      <w:r>
        <w:rPr>
          <w:b/>
        </w:rPr>
        <w:t>optional and network-gated</w:t>
      </w:r>
      <w:r>
        <w:t>, and it is developed/tested against a committed</w:t>
      </w:r>
    </w:p>
    <w:p>
      <w:r>
        <w:t>recorded fixture so it is green offline. The synthetic+CSV core is what actually</w:t>
      </w:r>
    </w:p>
    <w:p>
      <w:r>
        <w:t>runs here and in CI.</w:t>
      </w:r>
    </w:p>
    <w:p>
      <w:pPr>
        <w:pStyle w:val="Heading2"/>
      </w:pPr>
      <w:r>
        <w:t>Network probe (empirical, this environment)</w:t>
      </w:r>
    </w:p>
    <w:p>
      <w:r>
        <w:t xml:space="preserve">Outbound network in this build environment is an </w:t>
      </w:r>
      <w:r>
        <w:rPr>
          <w:b/>
        </w:rPr>
        <w:t>allowlist</w:t>
      </w:r>
      <w:r>
        <w:t>. Probed with</w:t>
      </w:r>
    </w:p>
    <w:p>
      <w:r>
        <w:rPr>
          <w:rFonts w:ascii="Consolas" w:hAnsi="Consolas"/>
          <w:sz w:val="19"/>
        </w:rPr>
        <w:t>curl</w:t>
      </w:r>
      <w:r>
        <w:t xml:space="preserve"> on 2026-05-31: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Host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Endpoint probed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HTTP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Result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api.tiingo.com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/tiingo/...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/api/test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 not in allowlist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query1.finance.yahoo.com (yfinance/Yahoo)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/v8/finance/chart/AAPL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 not in allowlist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stooq.com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/q/d/l/?s=aapl.us&amp;i=d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 not in allowlist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www.alphavantage.co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/query?...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 not in allowlist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api.stlouisfed.org (FRED)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/fred/series/observations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 not in allowlist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api.polygon.io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/v2/aggs/ticker/AAPL/...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403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Host not in allowlist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pypi.org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/simple/tiingo/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reachable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files.pythonhosted.org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reachable</w:t>
            </w:r>
          </w:p>
        </w:tc>
      </w:tr>
      <w:tr>
        <w:tc>
          <w:tcPr>
            <w:tcW w:type="dxa" w:w="2160"/>
          </w:tcPr>
          <w:p>
            <w:r>
              <w:rPr>
                <w:b/>
                <w:sz w:val="18"/>
              </w:rPr>
              <w:t>github.com</w:t>
            </w:r>
          </w:p>
        </w:tc>
        <w:tc>
          <w:tcPr>
            <w:tcW w:type="dxa" w:w="2160"/>
          </w:tcPr>
          <w:p>
            <w:r>
              <w:rPr>
                <w:rFonts w:ascii="Consolas" w:hAnsi="Consolas"/>
                <w:sz w:val="18"/>
              </w:rPr>
              <w:t>/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200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reachable</w:t>
            </w:r>
          </w:p>
        </w:tc>
      </w:tr>
    </w:tbl>
    <w:p>
      <w:r>
        <w:rPr>
          <w:b/>
        </w:rPr>
        <w:t>Conclusion:</w:t>
      </w:r>
      <w:r>
        <w:t xml:space="preserve"> only PyPI, PythonHosted, and GitHub resolve. </w:t>
      </w:r>
      <w:r>
        <w:rPr>
          <w:b/>
        </w:rPr>
        <w:t>Every</w:t>
      </w:r>
      <w:r>
        <w:t xml:space="preserve"> market-data</w:t>
      </w:r>
    </w:p>
    <w:p>
      <w:r>
        <w:t xml:space="preserve">host — including the recommended Tiingo — returns </w:t>
      </w:r>
      <w:r>
        <w:rPr>
          <w:rFonts w:ascii="Consolas" w:hAnsi="Consolas"/>
          <w:sz w:val="19"/>
        </w:rPr>
        <w:t>403 Host not in allowlist</w:t>
      </w:r>
      <w:r>
        <w:t>.</w:t>
      </w:r>
    </w:p>
    <w:p>
      <w:r>
        <w:t>This is the single most important constraint and it gates the whole design: any</w:t>
      </w:r>
    </w:p>
    <w:p>
      <w:r>
        <w:t>real adapter must be *optional* and must be testable *without* its host. Hence</w:t>
      </w:r>
    </w:p>
    <w:p>
      <w:r>
        <w:t>the synthetic+CSV core, and the fixture-backed prototype.</w:t>
      </w:r>
    </w:p>
    <w:p>
      <w:pPr>
        <w:pStyle w:val="Heading2"/>
      </w:pPr>
      <w:r>
        <w:t>Scoring matrix</w:t>
      </w:r>
    </w:p>
    <w:p>
      <w:r>
        <w:t>Scale: ✅ strong / 🟠 ok / ⚠️ weak / ❌ blocking — for *this project's* needs</w:t>
      </w:r>
    </w:p>
    <w:p>
      <w:r>
        <w:t>(daily EOD prices for risk budgeting, up to ~500 assets × ~5000 periods, §3.1).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18"/>
              </w:rPr>
              <w:t>Dimension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synthetic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CSV/parquet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Tiingo (free)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yfinance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Stooq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Alpha Vantage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FRED</w:t>
            </w:r>
          </w:p>
        </w:tc>
        <w:tc>
          <w:tcPr>
            <w:tcW w:type="dxa" w:w="960"/>
          </w:tcPr>
          <w:p>
            <w:r>
              <w:rPr>
                <w:b/>
                <w:sz w:val="18"/>
              </w:rPr>
              <w:t>Polygon (paid)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This env's network policy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 needed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 needed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403 blocked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403 blocked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403 blocked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403 blocked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403 blocked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❌ 403 blocked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Licensing / ToS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ours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user's own files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clear ToS, free non-commercial tier, redistribution limits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unofficial Yahoo endpoint; ToS gray area, no redistribution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free, terms thin/ambiguous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clear free ToS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public-domain US gov data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commercial license (paid)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Asset coverage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arbitrary synthetic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whatever you load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US+intl equities, ETFs, mutual funds, FX, crypto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very broad global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US/EU equities, indices, FX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equities/FX/crypto, US-centric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macro/rates only (not equities)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broad US (+ options/FX paid)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History depth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unlimited (generated)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unlimited (your files)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decades for US equities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long, varies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decent but spotty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~20y daily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long macro series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long (paid tiers)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Corporate actions / adjusted close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depends on 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 xml:space="preserve">✅ </w:t>
            </w:r>
            <w:r>
              <w:rPr>
                <w:rFonts w:ascii="Consolas" w:hAnsi="Consolas"/>
                <w:sz w:val="18"/>
              </w:rPr>
              <w:t>adjClose</w:t>
            </w:r>
            <w:r>
              <w:rPr>
                <w:sz w:val="18"/>
              </w:rPr>
              <w:t xml:space="preserve"> + </w:t>
            </w:r>
            <w:r>
              <w:rPr>
                <w:rFonts w:ascii="Consolas" w:hAnsi="Consolas"/>
                <w:sz w:val="18"/>
              </w:rPr>
              <w:t>divCash</w:t>
            </w:r>
            <w:r>
              <w:rPr>
                <w:sz w:val="18"/>
              </w:rPr>
              <w:t>/</w:t>
            </w:r>
            <w:r>
              <w:rPr>
                <w:rFonts w:ascii="Consolas" w:hAnsi="Consolas"/>
                <w:sz w:val="18"/>
              </w:rPr>
              <w:t>splitFactor</w:t>
            </w:r>
            <w:r>
              <w:rPr>
                <w:sz w:val="18"/>
              </w:rPr>
              <w:t xml:space="preserve"> per row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 xml:space="preserve">🟠 </w:t>
            </w:r>
            <w:r>
              <w:rPr>
                <w:rFonts w:ascii="Consolas" w:hAnsi="Consolas"/>
                <w:sz w:val="18"/>
              </w:rPr>
              <w:t>Adj Close</w:t>
            </w:r>
            <w:r>
              <w:rPr>
                <w:sz w:val="18"/>
              </w:rPr>
              <w:t xml:space="preserve"> (occasionally inconsistent)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adjusted but undocumented method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adjusted endpoint exists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adjusted + actions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Survivorship bias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 (synthetic)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depends on file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includes many delisted (better than free peers)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delisted tickers vanish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survivorship-biased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survivorship-biased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n/a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point-in-time (paid)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Rate limits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free: ~50 symbols/hr, 1000 req/day, 500 unique symbols/mo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unofficial throttling/blocks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informal limits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⚠️ 5 req/min, 25/day (free)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generous w/ key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high (paid)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API ergonomics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trivial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trivial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clean REST/JSON, stable, documented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Python lib, brittle scraping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CSV URL, minimal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🟠 REST/JSON, quirky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clean REST/JSON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clean REST/JSON</w:t>
            </w:r>
          </w:p>
        </w:tc>
      </w:tr>
      <w:tr>
        <w:tc>
          <w:tcPr>
            <w:tcW w:type="dxa" w:w="960"/>
          </w:tcPr>
          <w:p>
            <w:r>
              <w:rPr>
                <w:b/>
                <w:sz w:val="18"/>
              </w:rPr>
              <w:t>Key management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single API token, env var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none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single key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✅ single key</w:t>
            </w:r>
          </w:p>
        </w:tc>
        <w:tc>
          <w:tcPr>
            <w:tcW w:type="dxa" w:w="960"/>
          </w:tcPr>
          <w:p>
            <w:r>
              <w:rPr>
                <w:sz w:val="18"/>
              </w:rPr>
              <w:t>🔑 paid key</w:t>
            </w:r>
          </w:p>
        </w:tc>
      </w:tr>
    </w:tbl>
    <w:p>
      <w:pPr>
        <w:pStyle w:val="Heading3"/>
      </w:pPr>
      <w:r>
        <w:t>Reading the matrix</w:t>
      </w:r>
    </w:p>
    <w:p>
      <w:pPr>
        <w:pStyle w:val="ListBullet"/>
      </w:pPr>
      <w:r>
        <w:rPr>
          <w:b/>
        </w:rPr>
        <w:t>synthetic / CSV</w:t>
      </w:r>
      <w:r>
        <w:t xml:space="preserve"> are the only two that are ✅ on *this env's network policy*.</w:t>
      </w:r>
    </w:p>
    <w:p>
      <w:r>
        <w:t>They are the production backbone for everything that must run in CI.</w:t>
      </w:r>
    </w:p>
    <w:p>
      <w:pPr>
        <w:pStyle w:val="ListBullet"/>
      </w:pPr>
      <w:r>
        <w:t xml:space="preserve">Among the *real* providers, </w:t>
      </w:r>
      <w:r>
        <w:rPr>
          <w:b/>
        </w:rPr>
        <w:t>Tiingo</w:t>
      </w:r>
      <w:r>
        <w:t xml:space="preserve"> dominates the free tier on the</w:t>
      </w:r>
    </w:p>
    <w:p>
      <w:r>
        <w:t xml:space="preserve">dimensions that matter for a risk model: documented </w:t>
      </w:r>
      <w:r>
        <w:rPr>
          <w:b/>
        </w:rPr>
        <w:t>adjusted closes</w:t>
      </w:r>
      <w:r>
        <w:t xml:space="preserve"> with</w:t>
      </w:r>
    </w:p>
    <w:p>
      <w:r>
        <w:t>per-row dividend/split factors (corporate-action correctness, §3.1), deep</w:t>
      </w:r>
    </w:p>
    <w:p>
      <w:r>
        <w:t>history, an explicit token (reproducible, no scraping), and a stable JSON API.</w:t>
      </w:r>
    </w:p>
    <w:p>
      <w:r>
        <w:t>Its only real weaknesses are the rate limits (fine for nightly batch / research</w:t>
      </w:r>
    </w:p>
    <w:p>
      <w:r>
        <w:t>cadence, not tick-by-tick — which is out of scope per §9) and the free-tier</w:t>
      </w:r>
    </w:p>
    <w:p>
      <w:r>
        <w:t>redistribution restriction (we cache, we do not redistribute).</w:t>
      </w:r>
    </w:p>
    <w:p>
      <w:pPr>
        <w:pStyle w:val="ListBullet"/>
      </w:pPr>
      <w:r>
        <w:rPr>
          <w:b/>
        </w:rPr>
        <w:t>yfinance</w:t>
      </w:r>
      <w:r>
        <w:t xml:space="preserve"> is the pragmatic *fallback*: no key and the broadest coverage, but</w:t>
      </w:r>
    </w:p>
    <w:p>
      <w:r>
        <w:t>it rides an undocumented Yahoo endpoint with ToS ambiguity, occasional silent</w:t>
      </w:r>
    </w:p>
    <w:p>
      <w:r>
        <w:t>adjustment glitches, and survivorship gaps (delisted tickers disappear). Good</w:t>
      </w:r>
    </w:p>
    <w:p>
      <w:r>
        <w:t>for a quick look, not a dependable production source.</w:t>
      </w:r>
    </w:p>
    <w:p>
      <w:pPr>
        <w:pStyle w:val="ListBullet"/>
      </w:pPr>
      <w:r>
        <w:rPr>
          <w:b/>
        </w:rPr>
        <w:t>Stooq / Alpha Vantage</w:t>
      </w:r>
      <w:r>
        <w:t xml:space="preserve"> add little over Tiingo for our use case: Stooq's</w:t>
      </w:r>
    </w:p>
    <w:p>
      <w:r>
        <w:t>adjustment method is undocumented and its terms are thin; Alpha Vantage's free</w:t>
      </w:r>
    </w:p>
    <w:p>
      <w:r>
        <w:t>rate limit (5 req/min, 25/day) is too tight to pull a 500-asset universe.</w:t>
      </w:r>
    </w:p>
    <w:p>
      <w:pPr>
        <w:pStyle w:val="ListBullet"/>
      </w:pPr>
      <w:r>
        <w:rPr>
          <w:b/>
        </w:rPr>
        <w:t>FRED</w:t>
      </w:r>
      <w:r>
        <w:t xml:space="preserve"> is not an equity price source at all — it is the right place to source</w:t>
      </w:r>
    </w:p>
    <w:p>
      <w:r>
        <w:t xml:space="preserve">a real </w:t>
      </w:r>
      <w:r>
        <w:rPr>
          <w:b/>
        </w:rPr>
        <w:t>risk-free rate / macro state</w:t>
      </w:r>
      <w:r>
        <w:t xml:space="preserve"> series for the §3.1 risk-free</w:t>
      </w:r>
    </w:p>
    <w:p>
      <w:r>
        <w:t>convention and the conditional-budget state variable, so it is a complementary</w:t>
      </w:r>
    </w:p>
    <w:p>
      <w:r>
        <w:t>*overlay*, not a competitor.</w:t>
      </w:r>
    </w:p>
    <w:p>
      <w:pPr>
        <w:pStyle w:val="ListBullet"/>
      </w:pPr>
      <w:r>
        <w:rPr>
          <w:b/>
        </w:rPr>
        <w:t>Polygon / EOD Historical Data</w:t>
      </w:r>
      <w:r>
        <w:t xml:space="preserve"> are the paid options to graduate to for a</w:t>
      </w:r>
    </w:p>
    <w:p>
      <w:r>
        <w:t>real-money deployment: point-in-time (survivorship-free) history, high rate</w:t>
      </w:r>
    </w:p>
    <w:p>
      <w:r>
        <w:t>limits, full corporate actions — at a subscription cost not warranted for v1.</w:t>
      </w:r>
    </w:p>
    <w:p>
      <w:pPr>
        <w:pStyle w:val="Heading2"/>
      </w:pPr>
      <w:r>
        <w:t>Why Tiingo for the prototype</w:t>
      </w:r>
    </w:p>
    <w:p>
      <w:r>
        <w:t>It is the best *real* adapter to build first because it scores highest on the</w:t>
      </w:r>
    </w:p>
    <w:p>
      <w:r>
        <w:t>dimensions a risk model is sensitive to:</w:t>
      </w:r>
    </w:p>
    <w:p>
      <w:pPr>
        <w:pStyle w:val="ListBullet"/>
      </w:pPr>
      <w:r>
        <w:rPr>
          <w:b/>
        </w:rPr>
        <w:t>Adjusted close is first-class.</w:t>
      </w:r>
      <w:r>
        <w:t xml:space="preserve"> Each record carries </w:t>
      </w:r>
      <w:r>
        <w:rPr>
          <w:rFonts w:ascii="Consolas" w:hAnsi="Consolas"/>
          <w:sz w:val="19"/>
        </w:rPr>
        <w:t>adjClose</w:t>
      </w:r>
      <w:r>
        <w:t xml:space="preserve"> alongside raw</w:t>
      </w:r>
    </w:p>
    <w:p>
      <w:r>
        <w:rPr>
          <w:rFonts w:ascii="Consolas" w:hAnsi="Consolas"/>
          <w:sz w:val="19"/>
        </w:rPr>
        <w:t>close</w:t>
      </w:r>
      <w:r>
        <w:t xml:space="preserve">, plus </w:t>
      </w:r>
      <w:r>
        <w:rPr>
          <w:rFonts w:ascii="Consolas" w:hAnsi="Consolas"/>
          <w:sz w:val="19"/>
        </w:rPr>
        <w:t>divCash</w:t>
      </w:r>
      <w:r>
        <w:t xml:space="preserve"> and </w:t>
      </w:r>
      <w:r>
        <w:rPr>
          <w:rFonts w:ascii="Consolas" w:hAnsi="Consolas"/>
          <w:sz w:val="19"/>
        </w:rPr>
        <w:t>splitFactor</w:t>
      </w:r>
      <w:r>
        <w:t>, so the return series is</w:t>
      </w:r>
    </w:p>
    <w:p>
      <w:r>
        <w:t>corporate-action consistent without us re-deriving adjustments. The adapter</w:t>
      </w:r>
    </w:p>
    <w:p>
      <w:r>
        <w:t xml:space="preserve">reads </w:t>
      </w:r>
      <w:r>
        <w:rPr>
          <w:rFonts w:ascii="Consolas" w:hAnsi="Consolas"/>
          <w:sz w:val="19"/>
        </w:rPr>
        <w:t>adjClose</w:t>
      </w:r>
      <w:r>
        <w:t xml:space="preserve"> as the canonical price.</w:t>
      </w:r>
    </w:p>
    <w:p>
      <w:pPr>
        <w:pStyle w:val="ListBullet"/>
      </w:pPr>
      <w:r>
        <w:rPr>
          <w:b/>
        </w:rPr>
        <w:t>Explicit, reproducible auth</w:t>
      </w:r>
      <w:r>
        <w:t xml:space="preserve"> (a single </w:t>
      </w:r>
      <w:r>
        <w:rPr>
          <w:rFonts w:ascii="Consolas" w:hAnsi="Consolas"/>
          <w:sz w:val="19"/>
        </w:rPr>
        <w:t>Authorization: Token …</w:t>
      </w:r>
      <w:r>
        <w:t xml:space="preserve"> header) — no</w:t>
      </w:r>
    </w:p>
    <w:p>
      <w:r>
        <w:t>scraping of an undocumented endpoint, so the contract is stable and the key</w:t>
      </w:r>
    </w:p>
    <w:p>
      <w:r>
        <w:t>management is a one-liner (env var).</w:t>
      </w:r>
    </w:p>
    <w:p>
      <w:pPr>
        <w:pStyle w:val="ListBullet"/>
      </w:pPr>
      <w:r>
        <w:rPr>
          <w:b/>
        </w:rPr>
        <w:t>Clean JSON</w:t>
      </w:r>
      <w:r>
        <w:t xml:space="preserve"> that maps directly onto </w:t>
      </w:r>
      <w:r>
        <w:rPr>
          <w:rFonts w:ascii="Consolas" w:hAnsi="Consolas"/>
          <w:sz w:val="19"/>
        </w:rPr>
        <w:t>PriceData</w:t>
      </w:r>
      <w:r>
        <w:t>, and history deep enough for</w:t>
      </w:r>
    </w:p>
    <w:p>
      <w:r>
        <w:t>the §3.1 scale targets.</w:t>
      </w:r>
    </w:p>
    <w:p>
      <w:pPr>
        <w:pStyle w:val="Heading2"/>
      </w:pPr>
      <w:r>
        <w:t>The prototype adapter (offline, fixture-backed)</w:t>
      </w:r>
    </w:p>
    <w:p>
      <w:r>
        <w:rPr>
          <w:rFonts w:ascii="Consolas" w:hAnsi="Consolas"/>
          <w:sz w:val="19"/>
        </w:rPr>
        <w:t>riskbudget/data/providers/tiingo.py</w:t>
      </w:r>
      <w:r>
        <w:t xml:space="preserve"> implements the </w:t>
      </w:r>
      <w:r>
        <w:rPr>
          <w:rFonts w:ascii="Consolas" w:hAnsi="Consolas"/>
          <w:sz w:val="19"/>
        </w:rPr>
        <w:t>DataSource</w:t>
      </w:r>
      <w:r>
        <w:t xml:space="preserve"> protocol</w:t>
      </w:r>
    </w:p>
    <w:p>
      <w:r>
        <w:t>(</w:t>
      </w:r>
      <w:r>
        <w:rPr>
          <w:rFonts w:ascii="Consolas" w:hAnsi="Consolas"/>
          <w:sz w:val="19"/>
        </w:rPr>
        <w:t>get_prices(assets, start, end) -&gt; PriceData</w:t>
      </w:r>
      <w:r>
        <w:t>) and is exposed as the</w:t>
      </w:r>
    </w:p>
    <w:p>
      <w:r>
        <w:t xml:space="preserve">registry-friendly factory </w:t>
      </w:r>
      <w:r>
        <w:rPr>
          <w:rFonts w:ascii="Consolas" w:hAnsi="Consolas"/>
          <w:sz w:val="19"/>
        </w:rPr>
        <w:t>tiingo_data_source</w:t>
      </w:r>
      <w:r>
        <w:t xml:space="preserve"> (BUILD_PLAN §5.2).</w:t>
      </w:r>
    </w:p>
    <w:p>
      <w:r>
        <w:t>Because the host is blocked here, it ships **two transports that share one</w:t>
      </w:r>
    </w:p>
    <w:p>
      <w:r>
        <w:t>parser**:</w:t>
      </w:r>
    </w:p>
    <w:p>
      <w:pPr>
        <w:pStyle w:val="ListBullet"/>
      </w:pPr>
      <w:r>
        <w:rPr>
          <w:rFonts w:ascii="Consolas" w:hAnsi="Consolas"/>
          <w:sz w:val="19"/>
        </w:rPr>
        <w:t>TiingoDataSource.from_fixtures()</w:t>
      </w:r>
      <w:r>
        <w:t xml:space="preserve"> — </w:t>
      </w:r>
      <w:r>
        <w:rPr>
          <w:b/>
        </w:rPr>
        <w:t>offline.</w:t>
      </w:r>
      <w:r>
        <w:t xml:space="preserve"> Reads recorded</w:t>
      </w:r>
    </w:p>
    <w:p>
      <w:r>
        <w:rPr>
          <w:rFonts w:ascii="Consolas" w:hAnsi="Consolas"/>
          <w:sz w:val="19"/>
        </w:rPr>
        <w:t>providers/fixtures/tiingo/{symbol}.json</w:t>
      </w:r>
      <w:r>
        <w:t xml:space="preserve"> files (committed: </w:t>
      </w:r>
      <w:r>
        <w:rPr>
          <w:rFonts w:ascii="Consolas" w:hAnsi="Consolas"/>
          <w:sz w:val="19"/>
        </w:rPr>
        <w:t>AAPL</w:t>
      </w:r>
      <w:r>
        <w:t xml:space="preserve">, </w:t>
      </w:r>
      <w:r>
        <w:rPr>
          <w:rFonts w:ascii="Consolas" w:hAnsi="Consolas"/>
          <w:sz w:val="19"/>
        </w:rPr>
        <w:t>MSFT</w:t>
      </w:r>
      <w:r>
        <w:t>, 40</w:t>
      </w:r>
    </w:p>
    <w:p>
      <w:r>
        <w:t>daily records each, the exact JSON shape Tiingo returns). This is what the</w:t>
      </w:r>
    </w:p>
    <w:p>
      <w:r>
        <w:t>tests use; no network, no key.</w:t>
      </w:r>
    </w:p>
    <w:p>
      <w:pPr>
        <w:pStyle w:val="ListBullet"/>
      </w:pPr>
      <w:r>
        <w:rPr>
          <w:rFonts w:ascii="Consolas" w:hAnsi="Consolas"/>
          <w:sz w:val="19"/>
        </w:rPr>
        <w:t>TiingoDataSource.live(api_key)</w:t>
      </w:r>
      <w:r>
        <w:t xml:space="preserve"> — </w:t>
      </w:r>
      <w:r>
        <w:rPr>
          <w:b/>
        </w:rPr>
        <w:t>network.</w:t>
      </w:r>
      <w:r>
        <w:t xml:space="preserve"> Issues the documented HTTPS GET</w:t>
      </w:r>
    </w:p>
    <w:p>
      <w:r>
        <w:t xml:space="preserve">to </w:t>
      </w:r>
      <w:r>
        <w:rPr>
          <w:rFonts w:ascii="Consolas" w:hAnsi="Consolas"/>
          <w:sz w:val="19"/>
        </w:rPr>
        <w:t>api.tiingo.com/tiingo/daily/{symbol}/prices</w:t>
      </w:r>
      <w:r>
        <w:t xml:space="preserve"> with </w:t>
      </w:r>
      <w:r>
        <w:rPr>
          <w:rFonts w:ascii="Consolas" w:hAnsi="Consolas"/>
          <w:sz w:val="19"/>
        </w:rPr>
        <w:t>startDate</w:t>
      </w:r>
      <w:r>
        <w:t>/</w:t>
      </w:r>
      <w:r>
        <w:rPr>
          <w:rFonts w:ascii="Consolas" w:hAnsi="Consolas"/>
          <w:sz w:val="19"/>
        </w:rPr>
        <w:t>endDate</w:t>
      </w:r>
    </w:p>
    <w:p>
      <w:r>
        <w:t xml:space="preserve">and an </w:t>
      </w:r>
      <w:r>
        <w:rPr>
          <w:rFonts w:ascii="Consolas" w:hAnsi="Consolas"/>
          <w:sz w:val="19"/>
        </w:rPr>
        <w:t>Authorization: Token</w:t>
      </w:r>
      <w:r>
        <w:t xml:space="preserve"> header, then runs the </w:t>
      </w:r>
      <w:r>
        <w:rPr>
          <w:b/>
        </w:rPr>
        <w:t>identical</w:t>
      </w:r>
      <w:r>
        <w:t xml:space="preserve"> parsing and</w:t>
      </w:r>
    </w:p>
    <w:p>
      <w:r>
        <w:t>alignment path. It works wherever Tiingo is reachable.</w:t>
      </w:r>
    </w:p>
    <w:p>
      <w:r>
        <w:t xml:space="preserve">Because both transports funnel through the same </w:t>
      </w:r>
      <w:r>
        <w:rPr>
          <w:rFonts w:ascii="Consolas" w:hAnsi="Consolas"/>
          <w:sz w:val="19"/>
        </w:rPr>
        <w:t>_parse_records</w:t>
      </w:r>
      <w:r>
        <w:t xml:space="preserve"> /</w:t>
      </w:r>
    </w:p>
    <w:p>
      <w:r>
        <w:rPr>
          <w:rFonts w:ascii="Consolas" w:hAnsi="Consolas"/>
          <w:sz w:val="19"/>
        </w:rPr>
        <w:t>get_prices</w:t>
      </w:r>
      <w:r>
        <w:t xml:space="preserve"> code, the offline tests cover the live logic; only the *transport*</w:t>
      </w:r>
    </w:p>
    <w:p>
      <w:r>
        <w:t xml:space="preserve">differs. </w:t>
      </w:r>
      <w:r>
        <w:rPr>
          <w:rFonts w:ascii="Consolas" w:hAnsi="Consolas"/>
          <w:sz w:val="19"/>
        </w:rPr>
        <w:t>requests</w:t>
      </w:r>
      <w:r>
        <w:t xml:space="preserve"> is imported lazily inside the live path, so neither the</w:t>
      </w:r>
    </w:p>
    <w:p>
      <w:r>
        <w:t>package nor its offline tests depend on it.</w:t>
      </w:r>
    </w:p>
    <w:p>
      <w:pPr>
        <w:pStyle w:val="Heading3"/>
      </w:pPr>
      <w:r>
        <w:t>How it would work live (reproducible request shape)</w:t>
      </w:r>
    </w:p>
    <w:p>
      <w:pPr>
        <w:shd w:val="clear" w:fill="F2F2F2"/>
        <w:spacing w:before="80" w:after="80"/>
        <w:ind w:left="216"/>
      </w:pPr>
      <w:r>
        <w:rPr>
          <w:rFonts w:ascii="Consolas" w:hAnsi="Consolas"/>
          <w:sz w:val="18"/>
        </w:rPr>
        <w:t>GET https://api.tiingo.com/tiingo/daily/AAPL/prices</w:t>
        <w:br/>
        <w:t xml:space="preserve">    ?startDate=2023-01-03&amp;endDate=2023-02-27&amp;format=json</w:t>
        <w:br/>
        <w:t xml:space="preserve">    &amp;columns=date,close,adjClose</w:t>
        <w:br/>
        <w:t>Authorization: Token $TIINGO_API_KEY</w:t>
      </w:r>
    </w:p>
    <w:p>
      <w:r>
        <w:t xml:space="preserve">returns a JSON array of </w:t>
      </w:r>
      <w:r>
        <w:rPr>
          <w:rFonts w:ascii="Consolas" w:hAnsi="Consolas"/>
          <w:sz w:val="19"/>
        </w:rPr>
        <w:t>{date, close, adjClose, ...}</w:t>
      </w:r>
      <w:r>
        <w:t xml:space="preserve"> records. The adapter takes</w:t>
      </w:r>
    </w:p>
    <w:p>
      <w:r>
        <w:rPr>
          <w:rFonts w:ascii="Consolas" w:hAnsi="Consolas"/>
          <w:sz w:val="19"/>
        </w:rPr>
        <w:t>adjClose</w:t>
      </w:r>
      <w:r>
        <w:t xml:space="preserve"> per asset, restricts to </w:t>
      </w:r>
      <w:r>
        <w:rPr>
          <w:rFonts w:ascii="Consolas" w:hAnsi="Consolas"/>
          <w:sz w:val="19"/>
        </w:rPr>
        <w:t>[start, end]</w:t>
      </w:r>
      <w:r>
        <w:t xml:space="preserve"> inclusive, aligns all assets on</w:t>
      </w:r>
    </w:p>
    <w:p>
      <w:r>
        <w:t>a common date index (forward-fill small gaps, drop dates still missing any</w:t>
      </w:r>
    </w:p>
    <w:p>
      <w:r>
        <w:t xml:space="preserve">asset), and returns a dense </w:t>
      </w:r>
      <w:r>
        <w:rPr>
          <w:rFonts w:ascii="Consolas" w:hAnsi="Consolas"/>
          <w:sz w:val="19"/>
        </w:rPr>
        <w:t>PriceData</w:t>
      </w:r>
      <w:r>
        <w:t xml:space="preserve">. To go live: set </w:t>
      </w:r>
      <w:r>
        <w:rPr>
          <w:rFonts w:ascii="Consolas" w:hAnsi="Consolas"/>
          <w:sz w:val="19"/>
        </w:rPr>
        <w:t>TIINGO_API_KEY</w:t>
      </w:r>
      <w:r>
        <w:t>,</w:t>
      </w:r>
    </w:p>
    <w:p>
      <w:r>
        <w:t xml:space="preserve">construct </w:t>
      </w:r>
      <w:r>
        <w:rPr>
          <w:rFonts w:ascii="Consolas" w:hAnsi="Consolas"/>
          <w:sz w:val="19"/>
        </w:rPr>
        <w:t>TiingoDataSource.live(os.environ["TIINGO_API_KEY"])</w:t>
      </w:r>
      <w:r>
        <w:t>, and call</w:t>
      </w:r>
    </w:p>
    <w:p>
      <w:r>
        <w:rPr>
          <w:rFonts w:ascii="Consolas" w:hAnsi="Consolas"/>
          <w:sz w:val="19"/>
        </w:rPr>
        <w:t>get_prices(...)</w:t>
      </w:r>
      <w:r>
        <w:t xml:space="preserve"> unchanged.</w:t>
      </w:r>
    </w:p>
    <w:p>
      <w:pPr>
        <w:pStyle w:val="Heading3"/>
      </w:pPr>
      <w:r>
        <w:t>Tests</w:t>
      </w:r>
    </w:p>
    <w:p>
      <w:r>
        <w:rPr>
          <w:rFonts w:ascii="Consolas" w:hAnsi="Consolas"/>
          <w:sz w:val="19"/>
        </w:rPr>
        <w:t>tests/test_data_provider.py</w:t>
      </w:r>
      <w:r>
        <w:t xml:space="preserve"> (28 tests, all offline) covers: </w:t>
      </w:r>
      <w:r>
        <w:rPr>
          <w:rFonts w:ascii="Consolas" w:hAnsi="Consolas"/>
          <w:sz w:val="19"/>
        </w:rPr>
        <w:t>DataSource</w:t>
      </w:r>
    </w:p>
    <w:p>
      <w:r>
        <w:t xml:space="preserve">protocol conformance, the happy path (correct shape, </w:t>
      </w:r>
      <w:r>
        <w:rPr>
          <w:b/>
        </w:rPr>
        <w:t>adjusted</w:t>
      </w:r>
      <w:r>
        <w:t xml:space="preserve"> close used,</w:t>
      </w:r>
    </w:p>
    <w:p>
      <w:r>
        <w:t>returns conversion), requested-order preservation, inclusive date-window</w:t>
      </w:r>
    </w:p>
    <w:p>
      <w:r>
        <w:t>restriction, multi-asset alignment/density, the full error taxonomy</w:t>
      </w:r>
    </w:p>
    <w:p>
      <w:r>
        <w:t>(</w:t>
      </w:r>
      <w:r>
        <w:rPr>
          <w:rFonts w:ascii="Consolas" w:hAnsi="Consolas"/>
          <w:sz w:val="19"/>
        </w:rPr>
        <w:t>DataError</w:t>
      </w:r>
      <w:r>
        <w:t xml:space="preserve"> for empty/duplicate assets, unknown symbol, bad window, missing</w:t>
      </w:r>
    </w:p>
    <w:p>
      <w:r>
        <w:t>fixture dir, missing/blank key), the live-transport guard rails (constructed</w:t>
      </w:r>
    </w:p>
    <w:p>
      <w:r>
        <w:t>without network), the shared parser (adjClose selection, normalization,</w:t>
      </w:r>
    </w:p>
    <w:p>
      <w:r>
        <w:t>dedupe, schema errors), and fixture-schema integrity.</w:t>
      </w:r>
    </w:p>
    <w:p>
      <w:pPr>
        <w:pStyle w:val="Heading2"/>
      </w:pPr>
      <w:r>
        <w:t>Recommendation, restated</w:t>
      </w:r>
    </w:p>
    <w:p>
      <w:pPr>
        <w:pStyle w:val="ListBullet"/>
      </w:pPr>
      <w:r>
        <w:rPr>
          <w:b/>
        </w:rPr>
        <w:t>Default everywhere (incl. CI):</w:t>
      </w:r>
      <w:r>
        <w:t xml:space="preserve"> synthetic + CSV (offline backbone).</w:t>
      </w:r>
    </w:p>
    <w:p>
      <w:pPr>
        <w:pStyle w:val="ListBullet"/>
      </w:pPr>
      <w:r>
        <w:rPr>
          <w:b/>
        </w:rPr>
        <w:t>First real adapter:</w:t>
      </w:r>
      <w:r>
        <w:t xml:space="preserve"> </w:t>
      </w:r>
      <w:r>
        <w:rPr>
          <w:b/>
        </w:rPr>
        <w:t>Tiingo</w:t>
      </w:r>
      <w:r>
        <w:t xml:space="preserve"> free tier — built here, fixture-tested,</w:t>
      </w:r>
    </w:p>
    <w:p>
      <w:r>
        <w:t xml:space="preserve">network-gated; flip to </w:t>
      </w:r>
      <w:r>
        <w:rPr>
          <w:rFonts w:ascii="Consolas" w:hAnsi="Consolas"/>
          <w:sz w:val="19"/>
        </w:rPr>
        <w:t>.live(api_key)</w:t>
      </w:r>
      <w:r>
        <w:t xml:space="preserve"> when a network path exists.</w:t>
      </w:r>
    </w:p>
    <w:p>
      <w:pPr>
        <w:pStyle w:val="ListBullet"/>
      </w:pPr>
      <w:r>
        <w:rPr>
          <w:b/>
        </w:rPr>
        <w:t>Convenience fallback (documented, not built v1):</w:t>
      </w:r>
      <w:r>
        <w:t xml:space="preserve"> yfinance.</w:t>
      </w:r>
    </w:p>
    <w:p>
      <w:pPr>
        <w:pStyle w:val="ListBullet"/>
      </w:pPr>
      <w:r>
        <w:rPr>
          <w:b/>
        </w:rPr>
        <w:t>Macro/factor overlay:</w:t>
      </w:r>
      <w:r>
        <w:t xml:space="preserve"> FRED (risk-free / state variable), not equity prices.</w:t>
      </w:r>
    </w:p>
    <w:p>
      <w:pPr>
        <w:pStyle w:val="ListBullet"/>
      </w:pPr>
      <w:r>
        <w:rPr>
          <w:b/>
        </w:rPr>
        <w:t>Future real-money path:</w:t>
      </w:r>
      <w:r>
        <w:t xml:space="preserve"> Polygon or EOD Historical Data (paid,</w:t>
      </w:r>
    </w:p>
    <w:p>
      <w:r>
        <w:t>survivorship-free).</w:t>
      </w:r>
    </w:p>
    <w:p>
      <w:pPr>
        <w:pStyle w:val="Heading2"/>
      </w:pPr>
      <w:r>
        <w:t>Sources actually reached from this environment</w:t>
      </w:r>
    </w:p>
    <w:p>
      <w:r>
        <w:t xml:space="preserve">Per the allowlist, </w:t>
      </w:r>
      <w:r>
        <w:rPr>
          <w:b/>
        </w:rPr>
        <w:t>no market-data provider page or API was reachable</w:t>
      </w:r>
      <w:r>
        <w:t xml:space="preserve"> — every</w:t>
      </w:r>
    </w:p>
    <w:p>
      <w:r>
        <w:t xml:space="preserve">one returned </w:t>
      </w:r>
      <w:r>
        <w:rPr>
          <w:rFonts w:ascii="Consolas" w:hAnsi="Consolas"/>
          <w:sz w:val="19"/>
        </w:rPr>
        <w:t>403 Host not in allowlist</w:t>
      </w:r>
      <w:r>
        <w:t xml:space="preserve"> (table above). The provider</w:t>
      </w:r>
    </w:p>
    <w:p>
      <w:r>
        <w:t>characteristics in the matrix are from each provider's public documentation as of</w:t>
      </w:r>
    </w:p>
    <w:p>
      <w:r>
        <w:t xml:space="preserve">the author's knowledge, </w:t>
      </w:r>
      <w:r>
        <w:rPr>
          <w:b/>
        </w:rPr>
        <w:t>not</w:t>
      </w:r>
      <w:r>
        <w:t xml:space="preserve"> verified by live fetch from this environment. The</w:t>
      </w:r>
    </w:p>
    <w:p>
      <w:r>
        <w:t xml:space="preserve">only hosts that resolved were </w:t>
      </w:r>
      <w:r>
        <w:rPr>
          <w:rFonts w:ascii="Consolas" w:hAnsi="Consolas"/>
          <w:sz w:val="19"/>
        </w:rPr>
        <w:t>pypi.org</w:t>
      </w:r>
      <w:r>
        <w:t xml:space="preserve">, </w:t>
      </w:r>
      <w:r>
        <w:rPr>
          <w:rFonts w:ascii="Consolas" w:hAnsi="Consolas"/>
          <w:sz w:val="19"/>
        </w:rPr>
        <w:t>files.pythonhosted.org</w:t>
      </w:r>
      <w:r>
        <w:t>, and</w:t>
      </w:r>
    </w:p>
    <w:p>
      <w:r>
        <w:rPr>
          <w:rFonts w:ascii="Consolas" w:hAnsi="Consolas"/>
          <w:sz w:val="19"/>
        </w:rPr>
        <w:t>github.com</w:t>
      </w:r>
      <w:r>
        <w:t xml:space="preserve"> (all HTTP 200), used solely to confirm the allowlist contrast. The</w:t>
      </w:r>
    </w:p>
    <w:p>
      <w:r>
        <w:t>Tiingo JSON *shape* in the fixtures reflects the documented</w:t>
      </w:r>
    </w:p>
    <w:p>
      <w:r>
        <w:rPr>
          <w:rFonts w:ascii="Consolas" w:hAnsi="Consolas"/>
          <w:sz w:val="19"/>
        </w:rPr>
        <w:t>/tiingo/daily/{symbol}/prices</w:t>
      </w:r>
      <w:r>
        <w:t xml:space="preserve"> response; it was reconstructed for offline use,</w:t>
      </w:r>
    </w:p>
    <w:p>
      <w:r>
        <w:t>not pulled live from here.</w:t>
      </w:r>
    </w:p>
    <w:p>
      <w:r>
        <w:br w:type="page"/>
      </w:r>
    </w:p>
    <w:p>
      <w:pPr>
        <w:pStyle w:val="Heading1"/>
      </w:pPr>
      <w:r>
        <w:t>Part III — Research &amp; algorithm provenance</w:t>
      </w:r>
    </w:p>
    <w:p>
      <w:r>
        <w:t>These are the non-market-data sources behind the system's methods — the academic papers and the open-source reference implementations the algorithms were derived from. Full detail (and the numerical-methods appendix) is in BUILD_PLAN §11–§12.</w:t>
      </w:r>
    </w:p>
    <w:p>
      <w:r>
        <w:t>Method → source map. All citations cross-verified across multiple independent</w:t>
      </w:r>
    </w:p>
    <w:p>
      <w:r>
        <w:t>indexers; publisher/SSRN/EDHEC pages return 403 to automated fetch, so full-text</w:t>
      </w:r>
    </w:p>
    <w:p>
      <w:r>
        <w:t>was not opened — titles/authors/years confirmed via concurring indexes. Items</w:t>
      </w:r>
    </w:p>
    <w:p>
      <w:r>
        <w:t>marked *(roadmap)* are deferred per §10.</w:t>
      </w:r>
    </w:p>
    <w:p>
      <w:r>
        <w:rPr>
          <w:b/>
        </w:rPr>
        <w:t>Course basis</w:t>
      </w:r>
    </w:p>
    <w:p>
      <w:pPr>
        <w:pStyle w:val="ListBullet"/>
      </w:pPr>
      <w:r>
        <w:t>EDHEC, *Introduction to Portfolio Construction and Analysis with Python*</w:t>
      </w:r>
    </w:p>
    <w:p>
      <w:r>
        <w:t>(Martellini &amp; Vaidyanathan) — https://www.coursera.org/learn/introduction-portfolio-construction-python</w:t>
      </w:r>
    </w:p>
    <w:p>
      <w:pPr>
        <w:pStyle w:val="ListBullet"/>
      </w:pPr>
      <w:r>
        <w:t xml:space="preserve">Public </w:t>
      </w:r>
      <w:r>
        <w:rPr>
          <w:rFonts w:ascii="Consolas" w:hAnsi="Consolas"/>
          <w:sz w:val="19"/>
        </w:rPr>
        <w:t>edhec_risk_kit</w:t>
      </w:r>
      <w:r>
        <w:t xml:space="preserve"> reference impl — https://github.com/WongYatChun/Introduction_to_Portfolio_Construction_and_Analysis_with_Python</w:t>
      </w:r>
    </w:p>
    <w:p>
      <w:r>
        <w:rPr>
          <w:b/>
        </w:rPr>
        <w:t>Cross-sectional risk budgeting (asset-level)</w:t>
      </w:r>
    </w:p>
    <w:p>
      <w:pPr>
        <w:pStyle w:val="ListBullet"/>
      </w:pPr>
      <w:r>
        <w:t>ERC: Maillard, Roncalli &amp; Teïletche, *JPM* 2010, 36(4):60–70 — https://papers.ssrn.com/sol3/papers.cfm?abstract_id=1271972</w:t>
      </w:r>
    </w:p>
    <w:p>
      <w:pPr>
        <w:pStyle w:val="ListBullet"/>
      </w:pPr>
      <w:r>
        <w:t>Convex log-barrier solver: Spinu (2013) / Maillard–Roncalli–Teïletche (as above).</w:t>
      </w:r>
    </w:p>
    <w:p>
      <w:r>
        <w:rPr>
          <w:b/>
        </w:rPr>
        <w:t>Factor risk budgeting &amp; diversification (Agent 9)</w:t>
      </w:r>
    </w:p>
    <w:p>
      <w:pPr>
        <w:pStyle w:val="ListBullet"/>
      </w:pPr>
      <w:r>
        <w:t>Deguest, Martellini &amp; Meucci, "Risk Parity and Beyond," WP 2013 / *JPM* 2022, 48(4):108–135 — https://papers.ssrn.com/sol3/papers.cfm?abstract_id=2355778</w:t>
      </w:r>
    </w:p>
    <w:p>
      <w:pPr>
        <w:pStyle w:val="ListBullet"/>
      </w:pPr>
      <w:r>
        <w:t>Meucci, "Managing Diversification" (ENB), *Risk* 2009 — https://papers.ssrn.com/sol3/papers.cfm?abstract_id=1358533 · http://symmys.com/node/199</w:t>
      </w:r>
    </w:p>
    <w:p>
      <w:pPr>
        <w:pStyle w:val="ListBullet"/>
      </w:pPr>
      <w:r>
        <w:t>Meucci, Santangelo &amp; Deguest, "Risk Budgeting and Diversification Based on Optimized Uncorrelated Factors" (min-torsion), WP 2015 — https://papers.ssrn.com/sol3/papers.cfm?abstract_id=2276632</w:t>
      </w:r>
    </w:p>
    <w:p>
      <w:pPr>
        <w:pStyle w:val="ListBullet"/>
      </w:pPr>
      <w:r>
        <w:t>MDP / Diversification Ratio (Choueifaty &amp; Coignard, TOBAM — *not* Martellini), *JPM* 2008, 35(1):40–51 — https://www.tobam.fr/wp-content/uploads/2014/12/TOBAM-JoPM-Maximum-Div-2008.pdf · follow-up https://papers.ssrn.com/sol3/papers.cfm?abstract_id=1895459</w:t>
      </w:r>
    </w:p>
    <w:p>
      <w:r>
        <w:rPr>
          <w:b/>
        </w:rPr>
        <w:t>Classical / efficient benchmarks &amp; expected returns (Agents 3–4)</w:t>
      </w:r>
    </w:p>
    <w:p>
      <w:pPr>
        <w:pStyle w:val="ListBullet"/>
      </w:pPr>
      <w:r>
        <w:t>Martellini, "Toward the Design of Better Equity Benchmarks," *JPM* 2008, 34(4):34–41 — https://jpm.pm-research.com/content/34/4/34</w:t>
      </w:r>
    </w:p>
    <w:p>
      <w:pPr>
        <w:pStyle w:val="ListBullet"/>
      </w:pPr>
      <w:r>
        <w:t>Amenc, Goltz, Martellini &amp; Retkowsky, "Efficient Indexation," *JOIM* 2011 — https://papers.ssrn.com/sol3/papers.cfm?abstract_id=2066083</w:t>
      </w:r>
    </w:p>
    <w:p>
      <w:r>
        <w:rPr>
          <w:b/>
        </w:rPr>
        <w:t>Ensemble construction (Agent 4 `ensemble.py`)</w:t>
      </w:r>
    </w:p>
    <w:p>
      <w:pPr>
        <w:pStyle w:val="ListBullet"/>
      </w:pPr>
      <w:r>
        <w:t>Amenc, Goltz, Lodh &amp; Martellini, "Diversifying the Diversifiers and Tracking the Tracking Error," *JPM* 2012, 38(3):72–88 — https://jpm.pm-research.com/content/38/3/72</w:t>
      </w:r>
    </w:p>
    <w:p>
      <w:pPr>
        <w:pStyle w:val="ListBullet"/>
      </w:pPr>
      <w:r>
        <w:t>Smart Beta 2.0: Amenc &amp; Goltz, *J. Index Investing* 2013, 4(3):15–23 *(roadmap)* — https://jii.pm-research.com/content/4/3/15</w:t>
      </w:r>
    </w:p>
    <w:p>
      <w:pPr>
        <w:pStyle w:val="ListBullet"/>
      </w:pPr>
      <w:r>
        <w:t>Towards Smart Equity Factor Indices: Amenc, Goltz, Lodh &amp; Martellini, *JPM* 2014, 40(4):106–122 *(roadmap)* — https://jpm.pm-research.com/content/40/4/106</w:t>
      </w:r>
    </w:p>
    <w:p>
      <w:pPr>
        <w:pStyle w:val="ListBullet"/>
      </w:pPr>
      <w:r>
        <w:t>Robustness of Smart Beta Strategies: Amenc, Goltz, Sivasubramanian &amp; Lodh, *JII* 2015, 6(1):17–38 *(roadmap)* — https://jii.pm-research.com/content/6/1/17</w:t>
      </w:r>
    </w:p>
    <w:p>
      <w:pPr>
        <w:pStyle w:val="ListBullet"/>
      </w:pPr>
      <w:r>
        <w:t>Diversified or Concentrated Factor Tilts?: Amenc, Ducoulombier, Goltz, Lodh &amp; Sivasubramanian, *JPM* 2016, 42(2):64–76 *(roadmap)* — https://jpm.pm-research.com/content/42/2/64</w:t>
      </w:r>
    </w:p>
    <w:p>
      <w:r>
        <w:rPr>
          <w:b/>
        </w:rPr>
        <w:t>Conditional risk budgeting (Agent 4 `conditional.py`)</w:t>
      </w:r>
    </w:p>
    <w:p>
      <w:pPr>
        <w:pStyle w:val="ListBullet"/>
      </w:pPr>
      <w:r>
        <w:t>Martellini, Milhau &amp; Tarelli, "Toward Conditional Risk Parity," *J. Alternative Investments* 2015, 18(1):48–64 — https://jai.pm-research.com/content/18/1/48</w:t>
      </w:r>
    </w:p>
    <w:p>
      <w:r>
        <w:rPr>
          <w:b/>
        </w:rPr>
        <w:t>Higher-moment estimation (Agent 3, advanced/stretch)</w:t>
      </w:r>
    </w:p>
    <w:p>
      <w:pPr>
        <w:pStyle w:val="ListBullet"/>
      </w:pPr>
      <w:r>
        <w:t>Martellini &amp; Ziemann, "Improved Estimates of Higher-Order Comoments and Implications for Portfolio Selection," *Review of Financial Studies* 2010, 23(4):1467–1502 — https://academic.oup.com/rfs/article-abstract/23/4/1467/1591232</w:t>
      </w:r>
    </w:p>
    <w:p>
      <w:pPr>
        <w:pStyle w:val="ListBullet"/>
      </w:pPr>
      <w:r>
        <w:t>Application: Hitaj, Martellini &amp; Zambruno, "Optimal Hedge Fund Allocation…," EDHEC/JAI 2010 — https://www.top1000funds.com/wp-content/uploads/2012/02/EDHEC_Publication_Optimal_HF_Allocation.pdf</w:t>
      </w:r>
    </w:p>
    <w:p>
      <w:r>
        <w:rPr>
          <w:b/>
        </w:rPr>
        <w:t>Dynamic allocation / LDI / fund separation (Agent 8 + roadmap)</w:t>
      </w:r>
    </w:p>
    <w:p>
      <w:pPr>
        <w:pStyle w:val="ListBullet"/>
      </w:pPr>
      <w:r>
        <w:t>Martellini &amp; Milhau, "Dynamic Allocation Decisions in the Presence of Funding Ratio Constraints," *J. Pension Economics &amp; Finance* 2012, 11(4):549–580 — https://www.cambridge.org/core/journals/journal-of-pension-economics-and-finance</w:t>
      </w:r>
    </w:p>
    <w:p>
      <w:pPr>
        <w:pStyle w:val="ListBullet"/>
      </w:pPr>
      <w:r>
        <w:t>Amenc, Martellini, Milhau &amp; Ziemann, "Asset-Liability Management in Private Wealth Management," *JPM* 2009, 36(1):100–120 — https://jpm.pm-research.com/content/36/1/100</w:t>
      </w:r>
    </w:p>
    <w:p>
      <w:pPr>
        <w:pStyle w:val="ListBullet"/>
      </w:pPr>
      <w:r>
        <w:t>Coqueret, Martellini &amp; Milhau, "Equity Portfolios with Improved Liability-Hedging Benefits," *JPM* 2017, 43(2):37–49 — https://jpm.pm-research.com/content/43/2/37</w:t>
      </w:r>
    </w:p>
    <w:p>
      <w:pPr>
        <w:pStyle w:val="ListBullet"/>
      </w:pPr>
      <w:r>
        <w:t>Deguest, Martellini &amp; Milhau, "Hedging vs. Insurance: Long-Horizon Investing with Short-Term Constraints," *Bankers, Markets &amp; Investors* 2014 *(roadmap)*</w:t>
      </w:r>
    </w:p>
    <w:p>
      <w:r>
        <w:rPr>
          <w:b/>
        </w:rPr>
        <w:t>Goal-based investing (roadmap)</w:t>
      </w:r>
    </w:p>
    <w:p>
      <w:pPr>
        <w:pStyle w:val="ListBullet"/>
      </w:pPr>
      <w:r>
        <w:t>Deguest, Martellini, Milhau, Suri &amp; Wang, "Introducing a Comprehensive Investment Framework for Goals-Based Wealth Management," EDHEC 2015 — https://www.globenewswire.com/news-release/2015/11/09/785040/0/en/New-conceptual-framework-to-better-achieve-individual-investors-goals.html</w:t>
      </w:r>
    </w:p>
    <w:p>
      <w:pPr>
        <w:pStyle w:val="ListBullet"/>
      </w:pPr>
      <w:r>
        <w:t>Deguest, Martellini &amp; Milhau, *Goal-Based Investing: Theory and Practice*, World Scientific 2021 — https://ideas.repec.org/b/wsi/wsbook/12386.html</w:t>
      </w:r>
    </w:p>
    <w:p>
      <w:pPr>
        <w:pStyle w:val="ListBullet"/>
      </w:pPr>
      <w:r>
        <w:t>Das, Ostrov, Radhakrishnan &amp; Srivastav, "Dynamic Portfolio Allocation in Goals-Based Wealth Management," *Computational Management Science* 2020, 17:613–640 (non-Martellini; the computational DP method) — https://link.springer.com/article/10.1007/s10287-019-00351-7</w:t>
      </w:r>
    </w:p>
    <w:p>
      <w:r>
        <w:t>*Verification caveat:* every publisher/SSRN/EDHEC domain returned HTTP 403 to the</w:t>
      </w:r>
    </w:p>
    <w:p>
      <w:r>
        <w:t>research agents' fetchers; citations were confirmed via agreement across two or more</w:t>
      </w:r>
    </w:p>
    <w:p>
      <w:r>
        <w:t>independent indexers (journal TOC pages, RePEc/IDEAS, Semantic Scholar, SciRP</w:t>
      </w:r>
    </w:p>
    <w:p>
      <w:r>
        <w:t>reference records), not by reading the rendered pages. No citation is fabricated;</w:t>
      </w:r>
    </w:p>
    <w:p>
      <w:r>
        <w:t>the few items resting only on a secondary index are flagged in the agent reports.</w:t>
      </w:r>
    </w:p>
    <w:p>
      <w:r>
        <w:rPr>
          <w:b/>
        </w:rPr>
        <w:t>Reference implementations (algorithmic provenance).</w:t>
      </w:r>
      <w:r>
        <w:t xml:space="preserve"> This environment's network</w:t>
      </w:r>
    </w:p>
    <w:p>
      <w:r>
        <w:t>allowlist blocks publisher PDFs but permits GitHub/PyPI, so the *algorithms* in §12</w:t>
      </w:r>
    </w:p>
    <w:p>
      <w:r>
        <w:t>were read directly from these peer-reviewed open-source implementations (commit</w:t>
      </w:r>
    </w:p>
    <w:p>
      <w:r>
        <w:t>pinned; read-only). These are the source of the concrete update equations, not of</w:t>
      </w:r>
    </w:p>
    <w:p>
      <w:r>
        <w:t>the financial theory (that is cited above).</w:t>
      </w:r>
    </w:p>
    <w:p>
      <w:pPr>
        <w:pStyle w:val="ListBullet"/>
      </w:pPr>
      <w:r>
        <w:rPr>
          <w:rFonts w:ascii="Consolas" w:hAnsi="Consolas"/>
          <w:sz w:val="19"/>
        </w:rPr>
        <w:t>convexfi/riskparity.py</w:t>
      </w:r>
      <w:r>
        <w:t xml:space="preserve"> @ </w:t>
      </w:r>
      <w:r>
        <w:rPr>
          <w:rFonts w:ascii="Consolas" w:hAnsi="Consolas"/>
          <w:sz w:val="19"/>
        </w:rPr>
        <w:t>39e6120</w:t>
      </w:r>
      <w:r>
        <w:t xml:space="preserve"> — Spinu CCD + Feng–Palomar SCA. Papers in-repo: Spinu (2013) SSRN 2297383; Griveau-Billion–Richard–Roncalli (2013) arXiv:1311.4057; Feng–Palomar (2015) IEEE TSP 63(19); Choi–Chen (2022).</w:t>
      </w:r>
    </w:p>
    <w:p>
      <w:pPr>
        <w:pStyle w:val="ListBullet"/>
      </w:pPr>
      <w:r>
        <w:rPr>
          <w:rFonts w:ascii="Consolas" w:hAnsi="Consolas"/>
          <w:sz w:val="19"/>
        </w:rPr>
        <w:t>jcrichard/pyrb</w:t>
      </w:r>
      <w:r>
        <w:t xml:space="preserve"> @ </w:t>
      </w:r>
      <w:r>
        <w:rPr>
          <w:rFonts w:ascii="Consolas" w:hAnsi="Consolas"/>
          <w:sz w:val="19"/>
        </w:rPr>
        <w:t>250054e</w:t>
      </w:r>
      <w:r>
        <w:t xml:space="preserve"> — constrained risk budgeting. In-repo: Richard–Roncalli (2019) SSRN 3331184; Roncalli (2015) expected-returns extension.</w:t>
      </w:r>
    </w:p>
    <w:p>
      <w:pPr>
        <w:pStyle w:val="ListBullet"/>
      </w:pPr>
      <w:r>
        <w:rPr>
          <w:rFonts w:ascii="Consolas" w:hAnsi="Consolas"/>
          <w:sz w:val="19"/>
        </w:rPr>
        <w:t>reckziegel/uncorbets</w:t>
      </w:r>
      <w:r>
        <w:t xml:space="preserve"> @ </w:t>
      </w:r>
      <w:r>
        <w:rPr>
          <w:rFonts w:ascii="Consolas" w:hAnsi="Consolas"/>
          <w:sz w:val="19"/>
        </w:rPr>
        <w:t>e128271</w:t>
      </w:r>
      <w:r>
        <w:t xml:space="preserve"> — minimum-torsion + ENB. In-repo: Meucci–Santangelo–Deguest, SSRN 2276632.</w:t>
      </w:r>
    </w:p>
    <w:p>
      <w:pPr>
        <w:pStyle w:val="ListBullet"/>
      </w:pPr>
      <w:r>
        <w:rPr>
          <w:rFonts w:ascii="Consolas" w:hAnsi="Consolas"/>
          <w:sz w:val="19"/>
        </w:rPr>
        <w:t>dcajasn/Riskfolio-Lib</w:t>
      </w:r>
      <w:r>
        <w:t xml:space="preserve"> @ </w:t>
      </w:r>
      <w:r>
        <w:rPr>
          <w:rFonts w:ascii="Consolas" w:hAnsi="Consolas"/>
          <w:sz w:val="19"/>
        </w:rPr>
        <w:t>2ed0167</w:t>
      </w:r>
      <w:r>
        <w:t xml:space="preserve"> — HRP/NCO/HERC + risk-measure set. In-repo: López de Prado (2016, 2019); Raffinot (2017, 2018); Pfitzinger–Katzke (2019).</w:t>
      </w:r>
    </w:p>
    <w:p>
      <w:pPr>
        <w:pStyle w:val="ListBullet"/>
      </w:pPr>
      <w:r>
        <w:rPr>
          <w:rFonts w:ascii="Consolas" w:hAnsi="Consolas"/>
          <w:sz w:val="19"/>
        </w:rPr>
        <w:t>robertmartin8/PyPortfolioOpt</w:t>
      </w:r>
      <w:r>
        <w:t xml:space="preserve"> @ </w:t>
      </w:r>
      <w:r>
        <w:rPr>
          <w:rFonts w:ascii="Consolas" w:hAnsi="Consolas"/>
          <w:sz w:val="19"/>
        </w:rPr>
        <w:t>c524c6e</w:t>
      </w:r>
      <w:r>
        <w:t xml:space="preserve"> — efficient frontier, CLA, Black-Litterman, estimators. In-repo: Cornuéjols–Tütüncü (2006); Ledoit–Wolf (2003, 2001); Chen et al. (2010) OAS; He–Litterman (1999/2002); Idzorek (2007); Bailey–López de Prado (2013).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