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Task 4 Scorecard and PD Calibration</w:t>
      </w:r>
    </w:p>
    <w:p>
      <w:r>
        <w:rPr>
          <w:b/>
        </w:rPr>
        <w:t>Credit Risk Management and Modeling | 1BP450</w:t>
      </w:r>
    </w:p>
    <w:p>
      <w:r>
        <w:t>This report documents the points scorecard developed from the Task 3 predictor shortlist and its out-of-sample validation. The model is fitted only on the training partition. The validation partition is used only to assess performance.</w:t>
      </w:r>
    </w:p>
    <w:p>
      <w:pPr>
        <w:pStyle w:val="Heading1"/>
      </w:pPr>
      <w:r>
        <w:t>1. Main results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184"/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Measure</w:t>
            </w:r>
          </w:p>
        </w:tc>
        <w:tc>
          <w:tcPr>
            <w:tcW w:type="dxa" w:w="4320"/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Result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Training observations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14,700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Validation observations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6,300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Selected predictors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10 (Task 3 scenario excluding gender and apartments)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Validation AUC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0.7390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Validation Gini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0.4780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Population weighted validation log loss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0.2498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Population weighted validation Brier score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0.0684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Weighted observed bad rate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8.00%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Weighted average predicted PD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7.98%</w:t>
            </w:r>
          </w:p>
        </w:tc>
      </w:tr>
    </w:tbl>
    <w:p>
      <w:r>
        <w:rPr>
          <w:b/>
        </w:rPr>
        <w:t xml:space="preserve">Interpretation. </w:t>
      </w:r>
      <w:r>
        <w:t>The validation AUC of 0.739 means the model ranks a randomly selected bad applicant above a randomly selected good applicant about 73.9% of the time (ties handled by the AUC calculation). The corresponding Gini is 0.478. The population-weighted mean PD (7.98%) is close to the assumed 8% population bad rate; it is not exactly equal because the correction adjusts the prior odds while preserving fitted class-conditional score relationships.</w:t>
      </w:r>
    </w:p>
    <w:p>
      <w:pPr>
        <w:pStyle w:val="Heading1"/>
      </w:pPr>
      <w:r>
        <w:t>2. Development method</w:t>
      </w:r>
    </w:p>
    <w:p>
      <w:r>
        <w:t>The development sample uses the existing reproducible, stratified 70:30 split with random seed 42. Training contains a 33.33% bad rate because the project sample is class-enriched. Validation has the same case-control composition.</w:t>
      </w:r>
    </w:p>
    <w:p>
      <w:r>
        <w:t>The ten variables selected in Task 3 are: EXT_SOURCE_1, EXT_SOURCE_2, EMPLOYMENT_YEARS, CREDIT_TO_GOODS_PRICE, ORGANIZATION_TYPE, OCCUPATION_TYPE, AMT_GOODS_PRICE, NAME_EDUCATION_TYPE, LIVINGAREA_AVG, and YEARS_SINCE_ID_PUBLISH.</w:t>
      </w:r>
    </w:p>
    <w:p>
      <w:r>
        <w:t>Binning and Weight of Evidence transformations are re-estimated using the training sample only. The training WoE variables are then entered into a logistic regression with TARGET=1 representing a bad/default. The validation rows are transformed using those same training-derived bins and WoE values.</w:t>
      </w:r>
    </w:p>
    <w:p>
      <w:r>
        <w:t>The coefficient signs are negative for all ten predictors under the convention WoE = ln(good share / bad share). A higher WoE therefore indicates a more good-heavy bin; a negative coefficient on the bad logit is directionally consistent with lower default risk. Coefficient p-values are diagnostic and do not replace validation or prove causality.</w:t>
      </w:r>
    </w:p>
    <w:p>
      <w:pPr>
        <w:pStyle w:val="Heading1"/>
      </w:pPr>
      <w:r>
        <w:t>3. Logistic model and population PD adjustment</w:t>
      </w:r>
    </w:p>
    <w:p>
      <w:r>
        <w:rPr>
          <w:b/>
        </w:rPr>
        <w:t xml:space="preserve">Training-sample model: </w:t>
      </w:r>
      <w:r>
        <w:t>ηᵢ = β₀ + Σⱼ βⱼ WoEᵢⱼ;  PDsample,ᵢ = 1 / (1 + exp(−ηᵢ)).</w:t>
      </w:r>
    </w:p>
    <w:p>
      <w:r>
        <w:t>The sample bad rate is 1/3, while the assumed deployment population bad rate is 8%. Under a prior-probability-shift assumption (the predictor distributions conditional on good/bad status stay stable), the logit intercept is shifted by:</w:t>
      </w:r>
    </w:p>
    <w:p>
      <w:pPr>
        <w:jc w:val="center"/>
      </w:pPr>
      <w:r>
        <w:rPr>
          <w:b/>
        </w:rPr>
        <w:t>Δ = logit(0.08) − logit(1/3) = −1.74920</w:t>
      </w:r>
    </w:p>
    <w:p>
      <w:r>
        <w:rPr>
          <w:b/>
        </w:rPr>
        <w:t xml:space="preserve">Population-calibrated prediction: </w:t>
      </w:r>
      <w:r>
        <w:t>PDpopulation,ᵢ = logistic(ηᵢ + Δ).</w:t>
      </w:r>
    </w:p>
    <w:p>
      <w:r>
        <w:t>This is a prevalence correction, not a refit on validation. If the 8% rate is not representative of the intended portfolio, or if sampling changed more than the class prior, the correction and resulting PD calibration must be revisited.</w:t>
      </w:r>
    </w:p>
    <w:p>
      <w:pPr>
        <w:pStyle w:val="Heading1"/>
      </w:pPr>
      <w:r>
        <w:t>4. Points score scale</w:t>
      </w:r>
    </w:p>
    <w:p>
      <w:r>
        <w:t>The score scale is explicitly set to 600 points at good:bad odds of 50:1, with PDO=20 (points to double the odds). These are transparent defaults; if the official project brief specifies a different scale, change the constants in the script. Higher points correspond to lower PD.</w:t>
      </w:r>
    </w:p>
    <w:p>
      <w:r>
        <w:rPr>
          <w:b/>
        </w:rPr>
        <w:t>Factor = PDO / ln(2) = 28.85390.</w:t>
      </w:r>
    </w:p>
    <w:p>
      <w:r>
        <w:rPr>
          <w:b/>
        </w:rPr>
        <w:t xml:space="preserve">Base points = 600 − Factor × (β₀ + Δ + ln(50)) = </w:t>
      </w:r>
      <w:r>
        <w:t>557.64.</w:t>
      </w:r>
    </w:p>
    <w:p>
      <w:r>
        <w:rPr>
          <w:b/>
        </w:rPr>
        <w:t xml:space="preserve">Bin contribution = −Factor × βⱼ × WoEⱼ,bin. </w:t>
      </w:r>
      <w:r>
        <w:t>The integer points shown below are rounded for display; the validation PD and score are calculated from unrounded coefficients and WoE values.</w:t>
      </w:r>
    </w:p>
    <w:p>
      <w:pPr>
        <w:pStyle w:val="Heading1"/>
      </w:pPr>
      <w:r>
        <w:t>5. Estimated model coefficients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3600"/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Term</w:t>
            </w:r>
          </w:p>
        </w:tc>
        <w:tc>
          <w:tcPr>
            <w:tcW w:type="dxa" w:w="2304"/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Bad-logit coefficient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Std. error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Wald p-value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Intercept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-0.6947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0.0191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&lt;0.0001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EXT_SOURCE_1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-0.8577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0.0338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&lt;0.0001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EXT_SOURCE_2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-0.8161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0.0398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&lt;0.0001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EMPLOYMENT_YEARS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-0.3136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0.0649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&lt;0.0001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CREDIT_TO_GOODS_PRICE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-0.7939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0.0632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&lt;0.0001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ORGANIZATION_TYPE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-0.5085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0.0782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&lt;0.0001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OCCUPATION_TYPE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-0.4524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0.0743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&lt;0.0001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AMT_GOODS_PRICE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-0.5188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0.0748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&lt;0.0001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NAME_EDUCATION_TYPE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-0.6358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0.0936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&lt;0.0001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LIVINGAREA_AVG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-0.5988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0.0967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&lt;0.0001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YEARS_SINCE_ID_PUBLISH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-0.3036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0.1004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0.0025</w:t>
            </w:r>
          </w:p>
        </w:tc>
      </w:tr>
    </w:tbl>
    <w:p>
      <w:pPr>
        <w:pStyle w:val="Heading1"/>
      </w:pPr>
      <w:r>
        <w:t>6. Validation calibration by predicted-risk decile</w:t>
      </w:r>
    </w:p>
    <w:p>
      <w:r>
        <w:t>Deciles are formed by corrected validation PD, from lowest to highest. Class weights reweight the 33.33% bad validation sample to an 8% bad population assumption. Decile rates are descriptive and may fluctuate because of sampling variation.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c>
          <w:tcPr>
            <w:tcW w:type="dxa" w:w="936"/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Decile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Applicants</w:t>
            </w:r>
          </w:p>
        </w:tc>
        <w:tc>
          <w:tcPr>
            <w:tcW w:type="dxa" w:w="1800"/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Mean predicted PD</w:t>
            </w:r>
          </w:p>
        </w:tc>
        <w:tc>
          <w:tcPr>
            <w:tcW w:type="dxa" w:w="2232"/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Weighted observed bad rate</w:t>
            </w:r>
          </w:p>
        </w:tc>
        <w:tc>
          <w:tcPr>
            <w:tcW w:type="dxa" w:w="1224"/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PD min</w:t>
            </w:r>
          </w:p>
        </w:tc>
        <w:tc>
          <w:tcPr>
            <w:tcW w:type="dxa" w:w="1224"/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PD max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1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630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1.85%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1.38%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0.56%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2.43%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2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630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2.91%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2.64%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2.43%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3.38%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3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630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3.83%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4.21%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3.38%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4.36%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630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4.92%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4.61%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4.37%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5.51%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5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630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6.19%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5.90%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5.51%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6.94%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6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630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7.79%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8.32%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6.94%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8.74%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7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630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9.75%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8.87%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8.74%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10.97%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8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630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12.58%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13.21%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10.97%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14.49%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9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630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17.35%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18.33%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14.49%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20.86%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10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630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28.84%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29.65%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20.89%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61.81%</w:t>
            </w:r>
          </w:p>
        </w:tc>
      </w:tr>
    </w:tbl>
    <w:p>
      <w:pPr>
        <w:pStyle w:val="Heading1"/>
      </w:pPr>
      <w:r>
        <w:t>7. Detailed bin score contributions</w:t>
      </w:r>
    </w:p>
    <w:p>
      <w:r>
        <w:t>Each row gives the contribution of a training-derived bin to the applicant score. Base points are added once; then add one bin contribution for each predictor. Bin labels and WoE values follow the Task 2 coarse-bin output.</w:t>
      </w:r>
    </w:p>
    <w:p>
      <w:pPr>
        <w:pStyle w:val="Heading2"/>
      </w:pPr>
      <w:r>
        <w:t>EXT_SOURCE_1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c>
          <w:tcPr>
            <w:tcW w:type="dxa" w:w="648"/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Bin</w:t>
            </w:r>
          </w:p>
        </w:tc>
        <w:tc>
          <w:tcPr>
            <w:tcW w:type="dxa" w:w="4680"/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Training bin definition</w:t>
            </w:r>
          </w:p>
        </w:tc>
        <w:tc>
          <w:tcPr>
            <w:tcW w:type="dxa" w:w="648"/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N</w:t>
            </w:r>
          </w:p>
        </w:tc>
        <w:tc>
          <w:tcPr>
            <w:tcW w:type="dxa" w:w="1296"/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Sample bad rate</w:t>
            </w:r>
          </w:p>
        </w:tc>
        <w:tc>
          <w:tcPr>
            <w:tcW w:type="dxa" w:w="1080"/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WoE G/B</w:t>
            </w:r>
          </w:p>
        </w:tc>
        <w:tc>
          <w:tcPr>
            <w:tcW w:type="dxa" w:w="792"/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Points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C01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[0.000527, 0.120558] + (0.120558, 0.187849]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1151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62.03%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-1.184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-29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C02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(0.187849, 0.242393] + (0.242393, 0.283712] + (0.283712, 0.324891]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1735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49.28%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-0.664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-16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C03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(0.324891, 0.363945] + (0.363945, 0.399676] + (0.399676, 0.432962]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1738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33.37%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-0.002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0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C04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(0.432962, 0.463275] + (0.463275, 0.497469]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1145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29.69%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0.169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4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C05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(0.497469, 0.531686] + (0.531686, 0.563835] + (0.563835, 0.591977] + (0.591977, 0.621226] + (0.621226, 0.652897]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2914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23.68%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0.477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12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C06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(0.652897, 0.681706] + (0.681706, 0.712155] + (0.712155, 0.742182]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1677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20.21%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0.680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17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C07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(0.742182, 0.780144] + (0.780144, 0.885159]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1144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16.26%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0.946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23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C08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&lt;MISSING&gt;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3196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37.42%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-0.179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-4</w:t>
            </w:r>
          </w:p>
        </w:tc>
      </w:tr>
    </w:tbl>
    <w:p>
      <w:pPr>
        <w:pStyle w:val="Heading2"/>
      </w:pPr>
      <w:r>
        <w:t>EXT_SOURCE_2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c>
          <w:tcPr>
            <w:tcW w:type="dxa" w:w="648"/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Bin</w:t>
            </w:r>
          </w:p>
        </w:tc>
        <w:tc>
          <w:tcPr>
            <w:tcW w:type="dxa" w:w="4680"/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Training bin definition</w:t>
            </w:r>
          </w:p>
        </w:tc>
        <w:tc>
          <w:tcPr>
            <w:tcW w:type="dxa" w:w="648"/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N</w:t>
            </w:r>
          </w:p>
        </w:tc>
        <w:tc>
          <w:tcPr>
            <w:tcW w:type="dxa" w:w="1296"/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Sample bad rate</w:t>
            </w:r>
          </w:p>
        </w:tc>
        <w:tc>
          <w:tcPr>
            <w:tcW w:type="dxa" w:w="1080"/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WoE G/B</w:t>
            </w:r>
          </w:p>
        </w:tc>
        <w:tc>
          <w:tcPr>
            <w:tcW w:type="dxa" w:w="792"/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Points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C01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[4.2e-05, 0.0884805] + &lt;MISSING&gt;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763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61.34%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-1.155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-27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C02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(0.0884805, 0.164206] + (0.164206, 0.231953]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1467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50.17%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-0.700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-16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C03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(0.231953, 0.288397] + (0.288397, 0.342631] + (0.342631, 0.390969]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2201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39.94%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-0.285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-7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C04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(0.390969, 0.433014] + (0.433014, 0.472025]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1467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35.72%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-0.106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-2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C05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(0.472025, 0.507005] + (0.507005, 0.538227]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1467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32.45%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0.040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1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C06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(0.538227, 0.564264] + (0.564264, 0.589772] + (0.589772, 0.612749]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2200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28.23%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0.240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6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C07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(0.612749, 0.635403] + (0.635403, 0.655757]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1467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25.56%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0.376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9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C08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(0.655757, 0.67812] + (0.67812, 0.703065] + (0.703065, 0.732378] + (0.732378, 0.769122] + (0.769122, 0.854995]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3668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22.38%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0.550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13</w:t>
            </w:r>
          </w:p>
        </w:tc>
      </w:tr>
    </w:tbl>
    <w:p>
      <w:pPr>
        <w:pStyle w:val="Heading2"/>
      </w:pPr>
      <w:r>
        <w:t>EMPLOYMENT_YEARS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c>
          <w:tcPr>
            <w:tcW w:type="dxa" w:w="648"/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Bin</w:t>
            </w:r>
          </w:p>
        </w:tc>
        <w:tc>
          <w:tcPr>
            <w:tcW w:type="dxa" w:w="4680"/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Training bin definition</w:t>
            </w:r>
          </w:p>
        </w:tc>
        <w:tc>
          <w:tcPr>
            <w:tcW w:type="dxa" w:w="648"/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N</w:t>
            </w:r>
          </w:p>
        </w:tc>
        <w:tc>
          <w:tcPr>
            <w:tcW w:type="dxa" w:w="1296"/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Sample bad rate</w:t>
            </w:r>
          </w:p>
        </w:tc>
        <w:tc>
          <w:tcPr>
            <w:tcW w:type="dxa" w:w="1080"/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WoE G/B</w:t>
            </w:r>
          </w:p>
        </w:tc>
        <w:tc>
          <w:tcPr>
            <w:tcW w:type="dxa" w:w="792"/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Points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C01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[0.0054757, 0.410678] + (0.410678, 0.804928] + (0.804928, 1.20397] + (1.20397, 1.58795] + (1.58795, 2.00137] + (2.00137, 2.43669] + (2.43669, 2.89049] + (2.89049, 3.37303] + (3.37303, 3.85763] + (3.85763, 4.38056]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6033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41.04%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-0.331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-3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C02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(4.38056, 4.95756] + (4.95756, 5.63997] + (5.63997, 6.39014]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1812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36.09%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-0.122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-1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C03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(6.39014, 7.25667] + (7.25667, 8.41273] + (8.41273, 9.84805] + (9.84805, 11.77]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2412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28.48%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0.228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2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C04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(11.77, 14.3258] + (14.3258, 19.1862] + (19.1862, 47.9671]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1809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23.11%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0.509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5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C05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&lt;SPECIAL_CODE&gt;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2634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25.25%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0.392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4</w:t>
            </w:r>
          </w:p>
        </w:tc>
      </w:tr>
    </w:tbl>
    <w:p>
      <w:pPr>
        <w:pStyle w:val="Heading2"/>
      </w:pPr>
      <w:r>
        <w:t>CREDIT_TO_GOODS_PRICE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c>
          <w:tcPr>
            <w:tcW w:type="dxa" w:w="648"/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Bin</w:t>
            </w:r>
          </w:p>
        </w:tc>
        <w:tc>
          <w:tcPr>
            <w:tcW w:type="dxa" w:w="4680"/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Training bin definition</w:t>
            </w:r>
          </w:p>
        </w:tc>
        <w:tc>
          <w:tcPr>
            <w:tcW w:type="dxa" w:w="648"/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N</w:t>
            </w:r>
          </w:p>
        </w:tc>
        <w:tc>
          <w:tcPr>
            <w:tcW w:type="dxa" w:w="1296"/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Sample bad rate</w:t>
            </w:r>
          </w:p>
        </w:tc>
        <w:tc>
          <w:tcPr>
            <w:tcW w:type="dxa" w:w="1080"/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WoE G/B</w:t>
            </w:r>
          </w:p>
        </w:tc>
        <w:tc>
          <w:tcPr>
            <w:tcW w:type="dxa" w:w="792"/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Points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C01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[1, 1.00858] + (1.00858, 1.04908]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5140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27.68%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0.267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6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C02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(1.04908, 1.0792] + (1.0792, 1.1056] + (1.1056, 1.1188]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2213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28.60%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0.222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5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C03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(1.1188, 1.132] + &lt;MISSING&gt; + (1.132, 1.14835]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1473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29.94%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0.157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4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C04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(1.14835, 1.16251] + (1.16251, 1.198]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1988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36.17%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-0.125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-3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C05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(1.198, 1.20667] + (1.20667, 1.22794] + (1.22794, 1.264]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1812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40.51%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-0.309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-7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C06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(1.264, 1.3168] + (1.3168, 1.396] + (1.396, 5.38462]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2074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45.81%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-0.525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-12</w:t>
            </w:r>
          </w:p>
        </w:tc>
      </w:tr>
    </w:tbl>
    <w:p>
      <w:pPr>
        <w:pStyle w:val="Heading2"/>
      </w:pPr>
      <w:r>
        <w:t>ORGANIZATION_TYPE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c>
          <w:tcPr>
            <w:tcW w:type="dxa" w:w="648"/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Bin</w:t>
            </w:r>
          </w:p>
        </w:tc>
        <w:tc>
          <w:tcPr>
            <w:tcW w:type="dxa" w:w="4680"/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Training bin definition</w:t>
            </w:r>
          </w:p>
        </w:tc>
        <w:tc>
          <w:tcPr>
            <w:tcW w:type="dxa" w:w="648"/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N</w:t>
            </w:r>
          </w:p>
        </w:tc>
        <w:tc>
          <w:tcPr>
            <w:tcW w:type="dxa" w:w="1296"/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Sample bad rate</w:t>
            </w:r>
          </w:p>
        </w:tc>
        <w:tc>
          <w:tcPr>
            <w:tcW w:type="dxa" w:w="1080"/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WoE G/B</w:t>
            </w:r>
          </w:p>
        </w:tc>
        <w:tc>
          <w:tcPr>
            <w:tcW w:type="dxa" w:w="792"/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Points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C01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Industry: type 12 + Religion + Trade: type 5 + Trade: type 4 + Realtor + Industry: type 5 + Transport: type 2 + Culture + Industry: type 10 + Industry: type 13 + University + Transport: type 1 + Police + Military + Trade: type 2 + Insurance + Cleaning + XNA + Bank + Industry: type 6 + Trade: type 6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3420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24.21%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0.448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7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C02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Industry: type 9 + Industry: type 11 + School + Trade: type 1 + Legal Services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735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28.30%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0.237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3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C03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Housing + Services + Hotel + Other + Business Entity Type 2 + Advertising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1572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30.22%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0.144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2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C04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Government + Security Ministries + Medicine + Postal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1133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33.36%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-0.001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0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C05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Trade: type 3 + Trade: type 7 + Industry: type 7 + Security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739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35.32%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-0.088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-1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C06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Business Entity Type 3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3335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37.33%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-0.175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-3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C07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Business Entity Type 1 + Self-employed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2133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38.12%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-0.208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-3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C08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Transport: type 4 + Industry: type 3 + Industry: type 1 + Kindergarten + Industry: type 4 + Emergency + Telecom + Construction + Agriculture + Electricity + Restaurant + Mobile + Transport: type 3 + Industry: type 2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1633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42.38%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-0.386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-6</w:t>
            </w:r>
          </w:p>
        </w:tc>
      </w:tr>
    </w:tbl>
    <w:p>
      <w:pPr>
        <w:pStyle w:val="Heading2"/>
      </w:pPr>
      <w:r>
        <w:t>OCCUPATION_TYPE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c>
          <w:tcPr>
            <w:tcW w:type="dxa" w:w="648"/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Bin</w:t>
            </w:r>
          </w:p>
        </w:tc>
        <w:tc>
          <w:tcPr>
            <w:tcW w:type="dxa" w:w="4680"/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Training bin definition</w:t>
            </w:r>
          </w:p>
        </w:tc>
        <w:tc>
          <w:tcPr>
            <w:tcW w:type="dxa" w:w="648"/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N</w:t>
            </w:r>
          </w:p>
        </w:tc>
        <w:tc>
          <w:tcPr>
            <w:tcW w:type="dxa" w:w="1296"/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Sample bad rate</w:t>
            </w:r>
          </w:p>
        </w:tc>
        <w:tc>
          <w:tcPr>
            <w:tcW w:type="dxa" w:w="1080"/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WoE G/B</w:t>
            </w:r>
          </w:p>
        </w:tc>
        <w:tc>
          <w:tcPr>
            <w:tcW w:type="dxa" w:w="792"/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Points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C01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Realty agents + HR staff + Private service staff + High skill tech staff + Managers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1669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24.21%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0.448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6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C02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Core staff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1208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28.97%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0.204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3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C03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&lt;MISSING&gt;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4660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29.23%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0.191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2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C04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Accountants + Medicine staff + IT staff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779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32.22%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0.050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1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C05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Security staff + Cleaning staff + Sales staff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2052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37.38%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-0.177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-2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C06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Laborers + Cooking staff + Waiters/barmen staff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3228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39.37%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-0.262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-3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C07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Secretaries + Drivers + Low-skill Laborers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1104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44.84%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-0.486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-6</w:t>
            </w:r>
          </w:p>
        </w:tc>
      </w:tr>
    </w:tbl>
    <w:p>
      <w:pPr>
        <w:pStyle w:val="Heading2"/>
      </w:pPr>
      <w:r>
        <w:t>AMT_GOODS_PRICE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c>
          <w:tcPr>
            <w:tcW w:type="dxa" w:w="648"/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Bin</w:t>
            </w:r>
          </w:p>
        </w:tc>
        <w:tc>
          <w:tcPr>
            <w:tcW w:type="dxa" w:w="4680"/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Training bin definition</w:t>
            </w:r>
          </w:p>
        </w:tc>
        <w:tc>
          <w:tcPr>
            <w:tcW w:type="dxa" w:w="648"/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N</w:t>
            </w:r>
          </w:p>
        </w:tc>
        <w:tc>
          <w:tcPr>
            <w:tcW w:type="dxa" w:w="1296"/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Sample bad rate</w:t>
            </w:r>
          </w:p>
        </w:tc>
        <w:tc>
          <w:tcPr>
            <w:tcW w:type="dxa" w:w="1080"/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WoE G/B</w:t>
            </w:r>
          </w:p>
        </w:tc>
        <w:tc>
          <w:tcPr>
            <w:tcW w:type="dxa" w:w="792"/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Points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C01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[45000, 135000] + &lt;MISSING&gt;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993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28.00%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0.252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4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C02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(135000, 180000] + (180000, 202500] + (202500, 225000] + (225000, 261000] + (261000, 288000]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4164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34.01%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-0.030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0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C03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(288000, 360000]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950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40.21%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-0.296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-4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C04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(360000, 450000]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1941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44.00%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-0.452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-7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C05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(450000, 454500] + (454500, 472500]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801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25.84%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0.361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5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C06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(472500, 567000] + (567000, 675000]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2311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34.36%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-0.046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-1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C07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(675000, 760500] + (760500, 900000] + (900000, 1.035e+06] + (1.035e+06, 1.27238e+06]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2805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28.45%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0.229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3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C08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(1.27238e+06, 2.421e+06]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735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23.27%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0.500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7</w:t>
            </w:r>
          </w:p>
        </w:tc>
      </w:tr>
    </w:tbl>
    <w:p>
      <w:pPr>
        <w:pStyle w:val="Heading2"/>
      </w:pPr>
      <w:r>
        <w:t>NAME_EDUCATION_TYPE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c>
          <w:tcPr>
            <w:tcW w:type="dxa" w:w="648"/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Bin</w:t>
            </w:r>
          </w:p>
        </w:tc>
        <w:tc>
          <w:tcPr>
            <w:tcW w:type="dxa" w:w="4680"/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Training bin definition</w:t>
            </w:r>
          </w:p>
        </w:tc>
        <w:tc>
          <w:tcPr>
            <w:tcW w:type="dxa" w:w="648"/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N</w:t>
            </w:r>
          </w:p>
        </w:tc>
        <w:tc>
          <w:tcPr>
            <w:tcW w:type="dxa" w:w="1296"/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Sample bad rate</w:t>
            </w:r>
          </w:p>
        </w:tc>
        <w:tc>
          <w:tcPr>
            <w:tcW w:type="dxa" w:w="1080"/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WoE G/B</w:t>
            </w:r>
          </w:p>
        </w:tc>
        <w:tc>
          <w:tcPr>
            <w:tcW w:type="dxa" w:w="792"/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Points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C01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Higher education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3297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24.99%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0.406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7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C02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Secondary / secondary special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10620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35.42%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-0.093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-2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C03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Incomplete higher + Lower secondary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783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40.10%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-0.292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-5</w:t>
            </w:r>
          </w:p>
        </w:tc>
      </w:tr>
    </w:tbl>
    <w:p>
      <w:pPr>
        <w:pStyle w:val="Heading2"/>
      </w:pPr>
      <w:r>
        <w:t>LIVINGAREA_AVG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c>
          <w:tcPr>
            <w:tcW w:type="dxa" w:w="648"/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Bin</w:t>
            </w:r>
          </w:p>
        </w:tc>
        <w:tc>
          <w:tcPr>
            <w:tcW w:type="dxa" w:w="4680"/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Training bin definition</w:t>
            </w:r>
          </w:p>
        </w:tc>
        <w:tc>
          <w:tcPr>
            <w:tcW w:type="dxa" w:w="648"/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N</w:t>
            </w:r>
          </w:p>
        </w:tc>
        <w:tc>
          <w:tcPr>
            <w:tcW w:type="dxa" w:w="1296"/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Sample bad rate</w:t>
            </w:r>
          </w:p>
        </w:tc>
        <w:tc>
          <w:tcPr>
            <w:tcW w:type="dxa" w:w="1080"/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WoE G/B</w:t>
            </w:r>
          </w:p>
        </w:tc>
        <w:tc>
          <w:tcPr>
            <w:tcW w:type="dxa" w:w="792"/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Points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C01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[0, 0.0078] + (0.0078, 0.0147] + (0.0147, 0.0226] + (0.0226, 0.03278]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1445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36.19%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-0.126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-2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C02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(0.03278, 0.042] + (0.042, 0.04932] + (0.04932, 0.0559] + (0.0559, 0.0618] + (0.0618, 0.0676] + (0.0676, 0.0731]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2172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30.89%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0.112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2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C03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(0.0731, 0.0801] + (0.0801, 0.08794] + (0.08794, 0.09656] + (0.09656, 0.1093] + (0.1093, 0.1255]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1802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28.02%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0.250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4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C04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(0.1255, 0.1496] + (0.1496, 0.18704] + (0.18704, 0.23746] + (0.23746, 0.32776] + (0.32776, 0.9879]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1806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25.19%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0.395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7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C05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&lt;MISSING&gt;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7475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36.74%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-0.150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-3</w:t>
            </w:r>
          </w:p>
        </w:tc>
      </w:tr>
    </w:tbl>
    <w:p>
      <w:pPr>
        <w:pStyle w:val="Heading2"/>
      </w:pPr>
      <w:r>
        <w:t>YEARS_SINCE_ID_PUBLISH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c>
          <w:tcPr>
            <w:tcW w:type="dxa" w:w="648"/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Bin</w:t>
            </w:r>
          </w:p>
        </w:tc>
        <w:tc>
          <w:tcPr>
            <w:tcW w:type="dxa" w:w="4680"/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Training bin definition</w:t>
            </w:r>
          </w:p>
        </w:tc>
        <w:tc>
          <w:tcPr>
            <w:tcW w:type="dxa" w:w="648"/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N</w:t>
            </w:r>
          </w:p>
        </w:tc>
        <w:tc>
          <w:tcPr>
            <w:tcW w:type="dxa" w:w="1296"/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Sample bad rate</w:t>
            </w:r>
          </w:p>
        </w:tc>
        <w:tc>
          <w:tcPr>
            <w:tcW w:type="dxa" w:w="1080"/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WoE G/B</w:t>
            </w:r>
          </w:p>
        </w:tc>
        <w:tc>
          <w:tcPr>
            <w:tcW w:type="dxa" w:w="792"/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Points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C01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[0, 0.930732] + (0.930732, 1.70541]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1470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40.48%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-0.307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-3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C02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(1.70541, 2.44723] + (2.44723, 3.20548]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1470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38.37%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-0.219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-2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C03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(3.20548, 4.02464] + (4.02464, 4.8616]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1470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36.46%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-0.138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-1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C04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(4.8616, 5.67556]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739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32.88%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0.020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0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C05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(5.67556, 6.49144] + (6.49144, 7.38001]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1466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36.90%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-0.157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-1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C06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(7.38001, 8.21903] + (8.21903, 9.0486] + (9.0486, 9.87269]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2210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33.53%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-0.009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0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C07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(9.87269, 10.6293] + (10.6293, 11.1595]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1467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29.99%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0.154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1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C08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(11.1595, 11.6331] + (11.6331, 12.0504] + (12.0504, 12.5092] + (12.5092, 13.0678] + (13.0678, 13.8728] + (13.8728, 17.0513]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4408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28.13%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0.245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2</w:t>
            </w:r>
          </w:p>
        </w:tc>
      </w:tr>
    </w:tbl>
    <w:p>
      <w:pPr>
        <w:pStyle w:val="Heading1"/>
      </w:pPr>
      <w:r>
        <w:t>8. Reproducibility and output files</w:t>
      </w:r>
    </w:p>
    <w:p>
      <w:r>
        <w:t>Run the script from the seminar project folder after Tasks 1–3 have created their output folders:</w:t>
      </w:r>
    </w:p>
    <w:p>
      <w:pPr>
        <w:ind w:left="288"/>
      </w:pPr>
      <w:r>
        <w:rPr>
          <w:rFonts w:ascii="Consolas" w:hAnsi="Consolas"/>
          <w:sz w:val="16"/>
        </w:rPr>
        <w:t>python task4_scorecard.py --input AppData.xlsx --task2-dir task2_output --task3-dir task3_output --output-dir task4_output</w:t>
      </w:r>
    </w:p>
    <w:p>
      <w:pPr>
        <w:pStyle w:val="ListBullet"/>
      </w:pPr>
      <w:r>
        <w:t>scorecard_points.csv: per-bin WoE and points contributions</w:t>
      </w:r>
    </w:p>
    <w:p>
      <w:pPr>
        <w:pStyle w:val="ListBullet"/>
      </w:pPr>
      <w:r>
        <w:t>model_coefficients.csv: fitted logistic coefficients and Wald diagnostics</w:t>
      </w:r>
    </w:p>
    <w:p>
      <w:pPr>
        <w:pStyle w:val="ListBullet"/>
      </w:pPr>
      <w:r>
        <w:t>validation_scored.csv: out-of-sample PDs and points for each validation applicant</w:t>
      </w:r>
    </w:p>
    <w:p>
      <w:pPr>
        <w:pStyle w:val="ListBullet"/>
      </w:pPr>
      <w:r>
        <w:t>validation_metrics.csv: unweighted discrimination and population-weighted calibration metrics</w:t>
      </w:r>
    </w:p>
    <w:p>
      <w:pPr>
        <w:pStyle w:val="ListBullet"/>
      </w:pPr>
      <w:r>
        <w:t>validation_calibration_by_decile.csv: weighted calibration summary by decile</w:t>
      </w:r>
    </w:p>
    <w:p>
      <w:pPr>
        <w:pStyle w:val="ListBullet"/>
      </w:pPr>
      <w:r>
        <w:t>task4_notes.txt: run settings and assumptions</w:t>
      </w:r>
    </w:p>
    <w:p>
      <w:pPr>
        <w:pStyle w:val="Heading1"/>
      </w:pPr>
      <w:r>
        <w:t>9. Limitations and interpretation</w:t>
      </w:r>
    </w:p>
    <w:p>
      <w:r>
        <w:t>The 8% population bad rate is an assumption supplied for calibration; the case-enriched sample itself cannot establish the real portfolio prior.</w:t>
      </w:r>
    </w:p>
    <w:p>
      <w:r>
        <w:t>The intercept-only correction is appropriate when the sample differs from the target population primarily through the good/bad sampling proportions. It does not fix population drift, changed underwriting policy, or changed predictor relationships.</w:t>
      </w:r>
    </w:p>
    <w:p>
      <w:r>
        <w:t>The unweighted validation AUC/Gini assess rank ordering and are not affected by a constant prior correction. Probability metrics are reported with class weights to represent the assumed 8% target prevalence.</w:t>
      </w:r>
    </w:p>
    <w:p>
      <w:r>
        <w:t>This is a project scorecard, not a production credit decision system. Before operational use, calibration, stability, fairness, data quality, and governance would require further review.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1BP450 | Task 4 Scorecard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E5A8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63A5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