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Task 5 PD Calibration Grades and Decision Strategy</w:t>
      </w:r>
    </w:p>
    <w:p>
      <w:r>
        <w:rPr>
          <w:b/>
        </w:rPr>
        <w:t>Credit Risk Management and Modeling | 1BP450</w:t>
      </w:r>
    </w:p>
    <w:p>
      <w:r>
        <w:t>This section corrects PDs from the class-enriched development sample to the assumed 8% applicant-population default rate, checks validation calibration, and turns the score into rating grades and an illustrative lending policy. Grade A is the best/lowest-risk group and Grade J is the worst/highest-risk group. Higher score points indicate lower default risk.</w:t>
      </w:r>
    </w:p>
    <w:p>
      <w:pPr>
        <w:pStyle w:val="Heading1"/>
      </w:pPr>
      <w:r>
        <w:t>1. Recalibrate to the population default rate</w:t>
      </w:r>
    </w:p>
    <w:p>
      <w:r>
        <w:t>The model was fitted on a development sample with a 33.33% bad rate, while the project assumes an 8% bad rate in the applicant population. Under prior-probability shift, the class-conditional relationships stay stable and only the prior odds change. The bad-logit intercept is corrected by:</w:t>
      </w:r>
    </w:p>
    <w:p>
      <w:pPr>
        <w:jc w:val="center"/>
      </w:pPr>
      <w:r>
        <w:rPr>
          <w:b/>
        </w:rPr>
        <w:t>Δ = logit(π) − logit(ρ) = ln[π/(1−π)] − ln[ρ/(1−ρ)]</w:t>
      </w:r>
    </w:p>
    <w:p>
      <w:pPr>
        <w:jc w:val="center"/>
      </w:pPr>
      <w:r>
        <w:rPr>
          <w:b/>
        </w:rPr>
        <w:t>Δ = logit(0.08) − logit(1/3) = -1.74919985</w:t>
      </w:r>
    </w:p>
    <w:p>
      <w:r>
        <w:rPr>
          <w:b/>
        </w:rPr>
        <w:t>PDpopulation = logistic(ηsample + Δ).</w:t>
      </w:r>
      <w:r>
        <w:t xml:space="preserve"> The correction changes the intercept, not the rank ordering of applicants.</w:t>
      </w:r>
    </w:p>
    <w:tbl>
      <w:tblPr>
        <w:tblStyle w:val="LightShading-Accent1"/>
        <w:tblW w:type="auto" w:w="0"/>
        <w:jc w:val="center"/>
        <w:tblLook w:firstColumn="1" w:firstRow="1" w:lastColumn="0" w:lastRow="0" w:noHBand="0" w:noVBand="1" w:val="04A0"/>
      </w:tblPr>
      <w:tblGrid>
        <w:gridCol w:w="5227"/>
        <w:gridCol w:w="5227"/>
      </w:tblGrid>
      <w:tr>
        <w:trPr>
          <w:tblHeader/>
        </w:trPr>
        <w:tc>
          <w:tcPr>
            <w:tcW w:type="dxa" w:w="6480"/>
            <w:shd w:fill="D9EAF7"/>
          </w:tcPr>
          <w:p>
            <w:pPr>
              <w:spacing w:after="0"/>
            </w:pPr>
            <w:r>
              <w:rPr>
                <w:rFonts w:ascii="Aptos" w:hAnsi="Aptos"/>
                <w:b/>
                <w:sz w:val="17"/>
              </w:rPr>
              <w:t>Calibration check</w:t>
            </w:r>
          </w:p>
        </w:tc>
        <w:tc>
          <w:tcPr>
            <w:tcW w:type="dxa" w:w="2304"/>
            <w:shd w:fill="D9EAF7"/>
          </w:tcPr>
          <w:p>
            <w:pPr>
              <w:spacing w:after="0"/>
            </w:pPr>
            <w:r>
              <w:rPr>
                <w:rFonts w:ascii="Aptos" w:hAnsi="Aptos"/>
                <w:b/>
                <w:sz w:val="17"/>
              </w:rPr>
              <w:t>Result</w:t>
            </w:r>
          </w:p>
        </w:tc>
      </w:tr>
      <w:tr>
        <w:tc>
          <w:tcPr>
            <w:tcW w:type="dxa" w:w="6480"/>
            <w:vAlign w:val="center"/>
          </w:tcPr>
          <w:p>
            <w:pPr>
              <w:spacing w:after="0"/>
            </w:pPr>
            <w:r>
              <w:rPr>
                <w:rFonts w:ascii="Aptos" w:hAnsi="Aptos"/>
                <w:sz w:val="17"/>
              </w:rPr>
              <w:t>Training sample bad rate</w:t>
            </w:r>
          </w:p>
        </w:tc>
        <w:tc>
          <w:tcPr>
            <w:tcW w:type="dxa" w:w="2304"/>
            <w:vAlign w:val="center"/>
          </w:tcPr>
          <w:p>
            <w:pPr>
              <w:spacing w:after="0"/>
            </w:pPr>
            <w:r>
              <w:rPr>
                <w:rFonts w:ascii="Aptos" w:hAnsi="Aptos"/>
                <w:sz w:val="17"/>
              </w:rPr>
              <w:t>33.33%</w:t>
            </w:r>
          </w:p>
        </w:tc>
      </w:tr>
      <w:tr>
        <w:tc>
          <w:tcPr>
            <w:tcW w:type="dxa" w:w="6480"/>
            <w:vAlign w:val="center"/>
          </w:tcPr>
          <w:p>
            <w:pPr>
              <w:spacing w:after="0"/>
            </w:pPr>
            <w:r>
              <w:rPr>
                <w:rFonts w:ascii="Aptos" w:hAnsi="Aptos"/>
                <w:sz w:val="17"/>
              </w:rPr>
              <w:t>Validation sample bad rate</w:t>
            </w:r>
          </w:p>
        </w:tc>
        <w:tc>
          <w:tcPr>
            <w:tcW w:type="dxa" w:w="2304"/>
            <w:vAlign w:val="center"/>
          </w:tcPr>
          <w:p>
            <w:pPr>
              <w:spacing w:after="0"/>
            </w:pPr>
            <w:r>
              <w:rPr>
                <w:rFonts w:ascii="Aptos" w:hAnsi="Aptos"/>
                <w:sz w:val="17"/>
              </w:rPr>
              <w:t>33.33%</w:t>
            </w:r>
          </w:p>
        </w:tc>
      </w:tr>
      <w:tr>
        <w:tc>
          <w:tcPr>
            <w:tcW w:type="dxa" w:w="6480"/>
            <w:vAlign w:val="center"/>
          </w:tcPr>
          <w:p>
            <w:pPr>
              <w:spacing w:after="0"/>
            </w:pPr>
            <w:r>
              <w:rPr>
                <w:rFonts w:ascii="Aptos" w:hAnsi="Aptos"/>
                <w:sz w:val="17"/>
              </w:rPr>
              <w:t>Assumed population bad rate</w:t>
            </w:r>
          </w:p>
        </w:tc>
        <w:tc>
          <w:tcPr>
            <w:tcW w:type="dxa" w:w="2304"/>
            <w:vAlign w:val="center"/>
          </w:tcPr>
          <w:p>
            <w:pPr>
              <w:spacing w:after="0"/>
            </w:pPr>
            <w:r>
              <w:rPr>
                <w:rFonts w:ascii="Aptos" w:hAnsi="Aptos"/>
                <w:sz w:val="17"/>
              </w:rPr>
              <w:t>8.00%</w:t>
            </w:r>
          </w:p>
        </w:tc>
      </w:tr>
      <w:tr>
        <w:tc>
          <w:tcPr>
            <w:tcW w:type="dxa" w:w="6480"/>
            <w:vAlign w:val="center"/>
          </w:tcPr>
          <w:p>
            <w:pPr>
              <w:spacing w:after="0"/>
            </w:pPr>
            <w:r>
              <w:rPr>
                <w:rFonts w:ascii="Aptos" w:hAnsi="Aptos"/>
                <w:sz w:val="17"/>
              </w:rPr>
              <w:t>Validation population-weighted observed bad rate</w:t>
            </w:r>
          </w:p>
        </w:tc>
        <w:tc>
          <w:tcPr>
            <w:tcW w:type="dxa" w:w="2304"/>
            <w:vAlign w:val="center"/>
          </w:tcPr>
          <w:p>
            <w:pPr>
              <w:spacing w:after="0"/>
            </w:pPr>
            <w:r>
              <w:rPr>
                <w:rFonts w:ascii="Aptos" w:hAnsi="Aptos"/>
                <w:sz w:val="17"/>
              </w:rPr>
              <w:t>8.00%</w:t>
            </w:r>
          </w:p>
        </w:tc>
      </w:tr>
      <w:tr>
        <w:tc>
          <w:tcPr>
            <w:tcW w:type="dxa" w:w="6480"/>
            <w:vAlign w:val="center"/>
          </w:tcPr>
          <w:p>
            <w:pPr>
              <w:spacing w:after="0"/>
            </w:pPr>
            <w:r>
              <w:rPr>
                <w:rFonts w:ascii="Aptos" w:hAnsi="Aptos"/>
                <w:sz w:val="17"/>
              </w:rPr>
              <w:t>Validation population-weighted mean predicted PD</w:t>
            </w:r>
          </w:p>
        </w:tc>
        <w:tc>
          <w:tcPr>
            <w:tcW w:type="dxa" w:w="2304"/>
            <w:vAlign w:val="center"/>
          </w:tcPr>
          <w:p>
            <w:pPr>
              <w:spacing w:after="0"/>
            </w:pPr>
            <w:r>
              <w:rPr>
                <w:rFonts w:ascii="Aptos" w:hAnsi="Aptos"/>
                <w:sz w:val="17"/>
              </w:rPr>
              <w:t>7.98%</w:t>
            </w:r>
          </w:p>
        </w:tc>
      </w:tr>
    </w:tbl>
    <w:p>
      <w:r>
        <w:t>The validation sample also has a 33.33% bad rate because it was stratified from the enriched data. To estimate population rates, bad observations are weighted by 0.08/(1/3)=0.24 and good observations by 0.92/(2/3)=1.38. After weighting, observed default rate is 8.00% and average predicted PD is 7.98%, close to the assumed population rate.</w:t>
      </w:r>
    </w:p>
    <w:p>
      <w:pPr>
        <w:pStyle w:val="Heading1"/>
      </w:pPr>
      <w:r>
        <w:t>2. Rating grades and validation calibration</w:t>
      </w:r>
    </w:p>
    <w:p>
      <w:r>
        <w:t>Ten score bands were set using population-weighted quantiles of training scores, then applied unchanged to validation. Grade A contains the highest scores and lowest predicted PDs; risk rises as grades progress toward J. Validation count is the actual holdout count. Population-equivalent count and observed default rate are class-weighted estimates.</w:t>
      </w:r>
    </w:p>
    <w:tbl>
      <w:tblPr>
        <w:tblStyle w:val="LightShading-Accent1"/>
        <w:tblW w:type="auto" w:w="0"/>
        <w:jc w:val="center"/>
        <w:tblLook w:firstColumn="1" w:firstRow="1" w:lastColumn="0" w:lastRow="0" w:noHBand="0" w:noVBand="1" w:val="04A0"/>
      </w:tblPr>
      <w:tblGrid>
        <w:gridCol w:w="1493"/>
        <w:gridCol w:w="1493"/>
        <w:gridCol w:w="1493"/>
        <w:gridCol w:w="1493"/>
        <w:gridCol w:w="1493"/>
        <w:gridCol w:w="1493"/>
        <w:gridCol w:w="1493"/>
      </w:tblGrid>
      <w:tr>
        <w:trPr>
          <w:tblHeader/>
        </w:trPr>
        <w:tc>
          <w:tcPr>
            <w:tcW w:type="dxa" w:w="648"/>
            <w:shd w:fill="D9EAF7"/>
          </w:tcPr>
          <w:p>
            <w:pPr>
              <w:spacing w:after="0"/>
            </w:pPr>
            <w:r>
              <w:rPr>
                <w:rFonts w:ascii="Aptos" w:hAnsi="Aptos"/>
                <w:b/>
                <w:sz w:val="14"/>
              </w:rPr>
              <w:t>Grade</w:t>
            </w:r>
          </w:p>
        </w:tc>
        <w:tc>
          <w:tcPr>
            <w:tcW w:type="dxa" w:w="1512"/>
            <w:shd w:fill="D9EAF7"/>
          </w:tcPr>
          <w:p>
            <w:pPr>
              <w:spacing w:after="0"/>
            </w:pPr>
            <w:r>
              <w:rPr>
                <w:rFonts w:ascii="Aptos" w:hAnsi="Aptos"/>
                <w:b/>
                <w:sz w:val="14"/>
              </w:rPr>
              <w:t>Score band</w:t>
            </w:r>
          </w:p>
        </w:tc>
        <w:tc>
          <w:tcPr>
            <w:tcW w:type="dxa" w:w="936"/>
            <w:shd w:fill="D9EAF7"/>
          </w:tcPr>
          <w:p>
            <w:pPr>
              <w:spacing w:after="0"/>
            </w:pPr>
            <w:r>
              <w:rPr>
                <w:rFonts w:ascii="Aptos" w:hAnsi="Aptos"/>
                <w:b/>
                <w:sz w:val="14"/>
              </w:rPr>
              <w:t>Validation N</w:t>
            </w:r>
          </w:p>
        </w:tc>
        <w:tc>
          <w:tcPr>
            <w:tcW w:type="dxa" w:w="1181"/>
            <w:shd w:fill="D9EAF7"/>
          </w:tcPr>
          <w:p>
            <w:pPr>
              <w:spacing w:after="0"/>
            </w:pPr>
            <w:r>
              <w:rPr>
                <w:rFonts w:ascii="Aptos" w:hAnsi="Aptos"/>
                <w:b/>
                <w:sz w:val="14"/>
              </w:rPr>
              <w:t>Pop.-equiv. N</w:t>
            </w:r>
          </w:p>
        </w:tc>
        <w:tc>
          <w:tcPr>
            <w:tcW w:type="dxa" w:w="979"/>
            <w:shd w:fill="D9EAF7"/>
          </w:tcPr>
          <w:p>
            <w:pPr>
              <w:spacing w:after="0"/>
            </w:pPr>
            <w:r>
              <w:rPr>
                <w:rFonts w:ascii="Aptos" w:hAnsi="Aptos"/>
                <w:b/>
                <w:sz w:val="14"/>
              </w:rPr>
              <w:t>Average PD</w:t>
            </w:r>
          </w:p>
        </w:tc>
        <w:tc>
          <w:tcPr>
            <w:tcW w:type="dxa" w:w="1296"/>
            <w:shd w:fill="D9EAF7"/>
          </w:tcPr>
          <w:p>
            <w:pPr>
              <w:spacing w:after="0"/>
            </w:pPr>
            <w:r>
              <w:rPr>
                <w:rFonts w:ascii="Aptos" w:hAnsi="Aptos"/>
                <w:b/>
                <w:sz w:val="14"/>
              </w:rPr>
              <w:t>Avg. weighted default</w:t>
            </w:r>
          </w:p>
        </w:tc>
        <w:tc>
          <w:tcPr>
            <w:tcW w:type="dxa" w:w="2232"/>
            <w:shd w:fill="D9EAF7"/>
          </w:tcPr>
          <w:p>
            <w:pPr>
              <w:spacing w:after="0"/>
            </w:pPr>
            <w:r>
              <w:rPr>
                <w:rFonts w:ascii="Aptos" w:hAnsi="Aptos"/>
                <w:b/>
                <w:sz w:val="14"/>
              </w:rPr>
              <w:t>Suggested decision</w:t>
            </w:r>
          </w:p>
        </w:tc>
      </w:tr>
      <w:tr>
        <w:tc>
          <w:tcPr>
            <w:tcW w:type="dxa" w:w="648"/>
            <w:vAlign w:val="center"/>
          </w:tcPr>
          <w:p>
            <w:pPr>
              <w:spacing w:after="0"/>
            </w:pPr>
            <w:r>
              <w:rPr>
                <w:rFonts w:ascii="Aptos" w:hAnsi="Aptos"/>
                <w:sz w:val="14"/>
              </w:rPr>
              <w:t>A</w:t>
            </w:r>
          </w:p>
        </w:tc>
        <w:tc>
          <w:tcPr>
            <w:tcW w:type="dxa" w:w="1512"/>
            <w:vAlign w:val="center"/>
          </w:tcPr>
          <w:p>
            <w:pPr>
              <w:spacing w:after="0"/>
            </w:pPr>
            <w:r>
              <w:rPr>
                <w:rFonts w:ascii="Aptos" w:hAnsi="Aptos"/>
                <w:sz w:val="14"/>
              </w:rPr>
              <w:t>597.2–633.4</w:t>
            </w:r>
          </w:p>
        </w:tc>
        <w:tc>
          <w:tcPr>
            <w:tcW w:type="dxa" w:w="936"/>
            <w:vAlign w:val="center"/>
          </w:tcPr>
          <w:p>
            <w:pPr>
              <w:spacing w:after="0"/>
            </w:pPr>
            <w:r>
              <w:rPr>
                <w:rFonts w:ascii="Aptos" w:hAnsi="Aptos"/>
                <w:sz w:val="14"/>
              </w:rPr>
              <w:t>457</w:t>
            </w:r>
          </w:p>
        </w:tc>
        <w:tc>
          <w:tcPr>
            <w:tcW w:type="dxa" w:w="1181"/>
            <w:vAlign w:val="center"/>
          </w:tcPr>
          <w:p>
            <w:pPr>
              <w:spacing w:after="0"/>
            </w:pPr>
            <w:r>
              <w:rPr>
                <w:rFonts w:ascii="Aptos" w:hAnsi="Aptos"/>
                <w:sz w:val="14"/>
              </w:rPr>
              <w:t>595.3</w:t>
            </w:r>
          </w:p>
        </w:tc>
        <w:tc>
          <w:tcPr>
            <w:tcW w:type="dxa" w:w="979"/>
            <w:vAlign w:val="center"/>
          </w:tcPr>
          <w:p>
            <w:pPr>
              <w:spacing w:after="0"/>
            </w:pPr>
            <w:r>
              <w:rPr>
                <w:rFonts w:ascii="Aptos" w:hAnsi="Aptos"/>
                <w:sz w:val="14"/>
              </w:rPr>
              <w:t>1.69%</w:t>
            </w:r>
          </w:p>
        </w:tc>
        <w:tc>
          <w:tcPr>
            <w:tcW w:type="dxa" w:w="1296"/>
            <w:vAlign w:val="center"/>
          </w:tcPr>
          <w:p>
            <w:pPr>
              <w:spacing w:after="0"/>
            </w:pPr>
            <w:r>
              <w:rPr>
                <w:rFonts w:ascii="Aptos" w:hAnsi="Aptos"/>
                <w:sz w:val="14"/>
              </w:rPr>
              <w:t>1.25%</w:t>
            </w:r>
          </w:p>
        </w:tc>
        <w:tc>
          <w:tcPr>
            <w:tcW w:type="dxa" w:w="2232"/>
            <w:vAlign w:val="center"/>
          </w:tcPr>
          <w:p>
            <w:pPr>
              <w:spacing w:after="0"/>
            </w:pPr>
            <w:r>
              <w:rPr>
                <w:rFonts w:ascii="Aptos" w:hAnsi="Aptos"/>
                <w:sz w:val="14"/>
              </w:rPr>
              <w:t>Auto approve</w:t>
            </w:r>
          </w:p>
        </w:tc>
      </w:tr>
      <w:tr>
        <w:tc>
          <w:tcPr>
            <w:tcW w:type="dxa" w:w="648"/>
            <w:vAlign w:val="center"/>
          </w:tcPr>
          <w:p>
            <w:pPr>
              <w:spacing w:after="0"/>
            </w:pPr>
            <w:r>
              <w:rPr>
                <w:rFonts w:ascii="Aptos" w:hAnsi="Aptos"/>
                <w:sz w:val="14"/>
              </w:rPr>
              <w:t>B</w:t>
            </w:r>
          </w:p>
        </w:tc>
        <w:tc>
          <w:tcPr>
            <w:tcW w:type="dxa" w:w="1512"/>
            <w:vAlign w:val="center"/>
          </w:tcPr>
          <w:p>
            <w:pPr>
              <w:spacing w:after="0"/>
            </w:pPr>
            <w:r>
              <w:rPr>
                <w:rFonts w:ascii="Aptos" w:hAnsi="Aptos"/>
                <w:sz w:val="14"/>
              </w:rPr>
              <w:t>588.0–597.2</w:t>
            </w:r>
          </w:p>
        </w:tc>
        <w:tc>
          <w:tcPr>
            <w:tcW w:type="dxa" w:w="936"/>
            <w:vAlign w:val="center"/>
          </w:tcPr>
          <w:p>
            <w:pPr>
              <w:spacing w:after="0"/>
            </w:pPr>
            <w:r>
              <w:rPr>
                <w:rFonts w:ascii="Aptos" w:hAnsi="Aptos"/>
                <w:sz w:val="14"/>
              </w:rPr>
              <w:t>513</w:t>
            </w:r>
          </w:p>
        </w:tc>
        <w:tc>
          <w:tcPr>
            <w:tcW w:type="dxa" w:w="1181"/>
            <w:vAlign w:val="center"/>
          </w:tcPr>
          <w:p>
            <w:pPr>
              <w:spacing w:after="0"/>
            </w:pPr>
            <w:r>
              <w:rPr>
                <w:rFonts w:ascii="Aptos" w:hAnsi="Aptos"/>
                <w:sz w:val="14"/>
              </w:rPr>
              <w:t>638.4</w:t>
            </w:r>
          </w:p>
        </w:tc>
        <w:tc>
          <w:tcPr>
            <w:tcW w:type="dxa" w:w="979"/>
            <w:vAlign w:val="center"/>
          </w:tcPr>
          <w:p>
            <w:pPr>
              <w:spacing w:after="0"/>
            </w:pPr>
            <w:r>
              <w:rPr>
                <w:rFonts w:ascii="Aptos" w:hAnsi="Aptos"/>
                <w:sz w:val="14"/>
              </w:rPr>
              <w:t>2.56%</w:t>
            </w:r>
          </w:p>
        </w:tc>
        <w:tc>
          <w:tcPr>
            <w:tcW w:type="dxa" w:w="1296"/>
            <w:vAlign w:val="center"/>
          </w:tcPr>
          <w:p>
            <w:pPr>
              <w:spacing w:after="0"/>
            </w:pPr>
            <w:r>
              <w:rPr>
                <w:rFonts w:ascii="Aptos" w:hAnsi="Aptos"/>
                <w:sz w:val="14"/>
              </w:rPr>
              <w:t>2.29%</w:t>
            </w:r>
          </w:p>
        </w:tc>
        <w:tc>
          <w:tcPr>
            <w:tcW w:type="dxa" w:w="2232"/>
            <w:vAlign w:val="center"/>
          </w:tcPr>
          <w:p>
            <w:pPr>
              <w:spacing w:after="0"/>
            </w:pPr>
            <w:r>
              <w:rPr>
                <w:rFonts w:ascii="Aptos" w:hAnsi="Aptos"/>
                <w:sz w:val="14"/>
              </w:rPr>
              <w:t>Auto approve</w:t>
            </w:r>
          </w:p>
        </w:tc>
      </w:tr>
      <w:tr>
        <w:tc>
          <w:tcPr>
            <w:tcW w:type="dxa" w:w="648"/>
            <w:vAlign w:val="center"/>
          </w:tcPr>
          <w:p>
            <w:pPr>
              <w:spacing w:after="0"/>
            </w:pPr>
            <w:r>
              <w:rPr>
                <w:rFonts w:ascii="Aptos" w:hAnsi="Aptos"/>
                <w:sz w:val="14"/>
              </w:rPr>
              <w:t>C</w:t>
            </w:r>
          </w:p>
        </w:tc>
        <w:tc>
          <w:tcPr>
            <w:tcW w:type="dxa" w:w="1512"/>
            <w:vAlign w:val="center"/>
          </w:tcPr>
          <w:p>
            <w:pPr>
              <w:spacing w:after="0"/>
            </w:pPr>
            <w:r>
              <w:rPr>
                <w:rFonts w:ascii="Aptos" w:hAnsi="Aptos"/>
                <w:sz w:val="14"/>
              </w:rPr>
              <w:t>581.0–588.0</w:t>
            </w:r>
          </w:p>
        </w:tc>
        <w:tc>
          <w:tcPr>
            <w:tcW w:type="dxa" w:w="936"/>
            <w:vAlign w:val="center"/>
          </w:tcPr>
          <w:p>
            <w:pPr>
              <w:spacing w:after="0"/>
            </w:pPr>
            <w:r>
              <w:rPr>
                <w:rFonts w:ascii="Aptos" w:hAnsi="Aptos"/>
                <w:sz w:val="14"/>
              </w:rPr>
              <w:t>532</w:t>
            </w:r>
          </w:p>
        </w:tc>
        <w:tc>
          <w:tcPr>
            <w:tcW w:type="dxa" w:w="1181"/>
            <w:vAlign w:val="center"/>
          </w:tcPr>
          <w:p>
            <w:pPr>
              <w:spacing w:after="0"/>
            </w:pPr>
            <w:r>
              <w:rPr>
                <w:rFonts w:ascii="Aptos" w:hAnsi="Aptos"/>
                <w:sz w:val="14"/>
              </w:rPr>
              <w:t>638.4</w:t>
            </w:r>
          </w:p>
        </w:tc>
        <w:tc>
          <w:tcPr>
            <w:tcW w:type="dxa" w:w="979"/>
            <w:vAlign w:val="center"/>
          </w:tcPr>
          <w:p>
            <w:pPr>
              <w:spacing w:after="0"/>
            </w:pPr>
            <w:r>
              <w:rPr>
                <w:rFonts w:ascii="Aptos" w:hAnsi="Aptos"/>
                <w:sz w:val="14"/>
              </w:rPr>
              <w:t>3.33%</w:t>
            </w:r>
          </w:p>
        </w:tc>
        <w:tc>
          <w:tcPr>
            <w:tcW w:type="dxa" w:w="1296"/>
            <w:vAlign w:val="center"/>
          </w:tcPr>
          <w:p>
            <w:pPr>
              <w:spacing w:after="0"/>
            </w:pPr>
            <w:r>
              <w:rPr>
                <w:rFonts w:ascii="Aptos" w:hAnsi="Aptos"/>
                <w:sz w:val="14"/>
              </w:rPr>
              <w:t>3.16%</w:t>
            </w:r>
          </w:p>
        </w:tc>
        <w:tc>
          <w:tcPr>
            <w:tcW w:type="dxa" w:w="2232"/>
            <w:vAlign w:val="center"/>
          </w:tcPr>
          <w:p>
            <w:pPr>
              <w:spacing w:after="0"/>
            </w:pPr>
            <w:r>
              <w:rPr>
                <w:rFonts w:ascii="Aptos" w:hAnsi="Aptos"/>
                <w:sz w:val="14"/>
              </w:rPr>
              <w:t>Auto approve</w:t>
            </w:r>
          </w:p>
        </w:tc>
      </w:tr>
      <w:tr>
        <w:tc>
          <w:tcPr>
            <w:tcW w:type="dxa" w:w="648"/>
            <w:vAlign w:val="center"/>
          </w:tcPr>
          <w:p>
            <w:pPr>
              <w:spacing w:after="0"/>
            </w:pPr>
            <w:r>
              <w:rPr>
                <w:rFonts w:ascii="Aptos" w:hAnsi="Aptos"/>
                <w:sz w:val="14"/>
              </w:rPr>
              <w:t>D</w:t>
            </w:r>
          </w:p>
        </w:tc>
        <w:tc>
          <w:tcPr>
            <w:tcW w:type="dxa" w:w="1512"/>
            <w:vAlign w:val="center"/>
          </w:tcPr>
          <w:p>
            <w:pPr>
              <w:spacing w:after="0"/>
            </w:pPr>
            <w:r>
              <w:rPr>
                <w:rFonts w:ascii="Aptos" w:hAnsi="Aptos"/>
                <w:sz w:val="14"/>
              </w:rPr>
              <w:t>574.3–581.0</w:t>
            </w:r>
          </w:p>
        </w:tc>
        <w:tc>
          <w:tcPr>
            <w:tcW w:type="dxa" w:w="936"/>
            <w:vAlign w:val="center"/>
          </w:tcPr>
          <w:p>
            <w:pPr>
              <w:spacing w:after="0"/>
            </w:pPr>
            <w:r>
              <w:rPr>
                <w:rFonts w:ascii="Aptos" w:hAnsi="Aptos"/>
                <w:sz w:val="14"/>
              </w:rPr>
              <w:t>555</w:t>
            </w:r>
          </w:p>
        </w:tc>
        <w:tc>
          <w:tcPr>
            <w:tcW w:type="dxa" w:w="1181"/>
            <w:vAlign w:val="center"/>
          </w:tcPr>
          <w:p>
            <w:pPr>
              <w:spacing w:after="0"/>
            </w:pPr>
            <w:r>
              <w:rPr>
                <w:rFonts w:ascii="Aptos" w:hAnsi="Aptos"/>
                <w:sz w:val="14"/>
              </w:rPr>
              <w:t>625.7</w:t>
            </w:r>
          </w:p>
        </w:tc>
        <w:tc>
          <w:tcPr>
            <w:tcW w:type="dxa" w:w="979"/>
            <w:vAlign w:val="center"/>
          </w:tcPr>
          <w:p>
            <w:pPr>
              <w:spacing w:after="0"/>
            </w:pPr>
            <w:r>
              <w:rPr>
                <w:rFonts w:ascii="Aptos" w:hAnsi="Aptos"/>
                <w:sz w:val="14"/>
              </w:rPr>
              <w:t>4.16%</w:t>
            </w:r>
          </w:p>
        </w:tc>
        <w:tc>
          <w:tcPr>
            <w:tcW w:type="dxa" w:w="1296"/>
            <w:vAlign w:val="center"/>
          </w:tcPr>
          <w:p>
            <w:pPr>
              <w:spacing w:after="0"/>
            </w:pPr>
            <w:r>
              <w:rPr>
                <w:rFonts w:ascii="Aptos" w:hAnsi="Aptos"/>
                <w:sz w:val="14"/>
              </w:rPr>
              <w:t>4.72%</w:t>
            </w:r>
          </w:p>
        </w:tc>
        <w:tc>
          <w:tcPr>
            <w:tcW w:type="dxa" w:w="2232"/>
            <w:vAlign w:val="center"/>
          </w:tcPr>
          <w:p>
            <w:pPr>
              <w:spacing w:after="0"/>
            </w:pPr>
            <w:r>
              <w:rPr>
                <w:rFonts w:ascii="Aptos" w:hAnsi="Aptos"/>
                <w:sz w:val="14"/>
              </w:rPr>
              <w:t>Auto approve</w:t>
            </w:r>
          </w:p>
        </w:tc>
      </w:tr>
      <w:tr>
        <w:tc>
          <w:tcPr>
            <w:tcW w:type="dxa" w:w="648"/>
            <w:vAlign w:val="center"/>
          </w:tcPr>
          <w:p>
            <w:pPr>
              <w:spacing w:after="0"/>
            </w:pPr>
            <w:r>
              <w:rPr>
                <w:rFonts w:ascii="Aptos" w:hAnsi="Aptos"/>
                <w:sz w:val="14"/>
              </w:rPr>
              <w:t>E</w:t>
            </w:r>
          </w:p>
        </w:tc>
        <w:tc>
          <w:tcPr>
            <w:tcW w:type="dxa" w:w="1512"/>
            <w:vAlign w:val="center"/>
          </w:tcPr>
          <w:p>
            <w:pPr>
              <w:spacing w:after="0"/>
            </w:pPr>
            <w:r>
              <w:rPr>
                <w:rFonts w:ascii="Aptos" w:hAnsi="Aptos"/>
                <w:sz w:val="14"/>
              </w:rPr>
              <w:t>568.0–574.3</w:t>
            </w:r>
          </w:p>
        </w:tc>
        <w:tc>
          <w:tcPr>
            <w:tcW w:type="dxa" w:w="936"/>
            <w:vAlign w:val="center"/>
          </w:tcPr>
          <w:p>
            <w:pPr>
              <w:spacing w:after="0"/>
            </w:pPr>
            <w:r>
              <w:rPr>
                <w:rFonts w:ascii="Aptos" w:hAnsi="Aptos"/>
                <w:sz w:val="14"/>
              </w:rPr>
              <w:t>561</w:t>
            </w:r>
          </w:p>
        </w:tc>
        <w:tc>
          <w:tcPr>
            <w:tcW w:type="dxa" w:w="1181"/>
            <w:vAlign w:val="center"/>
          </w:tcPr>
          <w:p>
            <w:pPr>
              <w:spacing w:after="0"/>
            </w:pPr>
            <w:r>
              <w:rPr>
                <w:rFonts w:ascii="Aptos" w:hAnsi="Aptos"/>
                <w:sz w:val="14"/>
              </w:rPr>
              <w:t>639.7</w:t>
            </w:r>
          </w:p>
        </w:tc>
        <w:tc>
          <w:tcPr>
            <w:tcW w:type="dxa" w:w="979"/>
            <w:vAlign w:val="center"/>
          </w:tcPr>
          <w:p>
            <w:pPr>
              <w:spacing w:after="0"/>
            </w:pPr>
            <w:r>
              <w:rPr>
                <w:rFonts w:ascii="Aptos" w:hAnsi="Aptos"/>
                <w:sz w:val="14"/>
              </w:rPr>
              <w:t>5.17%</w:t>
            </w:r>
          </w:p>
        </w:tc>
        <w:tc>
          <w:tcPr>
            <w:tcW w:type="dxa" w:w="1296"/>
            <w:vAlign w:val="center"/>
          </w:tcPr>
          <w:p>
            <w:pPr>
              <w:spacing w:after="0"/>
            </w:pPr>
            <w:r>
              <w:rPr>
                <w:rFonts w:ascii="Aptos" w:hAnsi="Aptos"/>
                <w:sz w:val="14"/>
              </w:rPr>
              <w:t>4.43%</w:t>
            </w:r>
          </w:p>
        </w:tc>
        <w:tc>
          <w:tcPr>
            <w:tcW w:type="dxa" w:w="2232"/>
            <w:vAlign w:val="center"/>
          </w:tcPr>
          <w:p>
            <w:pPr>
              <w:spacing w:after="0"/>
            </w:pPr>
            <w:r>
              <w:rPr>
                <w:rFonts w:ascii="Aptos" w:hAnsi="Aptos"/>
                <w:sz w:val="14"/>
              </w:rPr>
              <w:t>Auto approve</w:t>
            </w:r>
          </w:p>
        </w:tc>
      </w:tr>
      <w:tr>
        <w:tc>
          <w:tcPr>
            <w:tcW w:type="dxa" w:w="648"/>
            <w:vAlign w:val="center"/>
          </w:tcPr>
          <w:p>
            <w:pPr>
              <w:spacing w:after="0"/>
            </w:pPr>
            <w:r>
              <w:rPr>
                <w:rFonts w:ascii="Aptos" w:hAnsi="Aptos"/>
                <w:sz w:val="14"/>
              </w:rPr>
              <w:t>F</w:t>
            </w:r>
          </w:p>
        </w:tc>
        <w:tc>
          <w:tcPr>
            <w:tcW w:type="dxa" w:w="1512"/>
            <w:vAlign w:val="center"/>
          </w:tcPr>
          <w:p>
            <w:pPr>
              <w:spacing w:after="0"/>
            </w:pPr>
            <w:r>
              <w:rPr>
                <w:rFonts w:ascii="Aptos" w:hAnsi="Aptos"/>
                <w:sz w:val="14"/>
              </w:rPr>
              <w:t>561.6–568.0</w:t>
            </w:r>
          </w:p>
        </w:tc>
        <w:tc>
          <w:tcPr>
            <w:tcW w:type="dxa" w:w="936"/>
            <w:vAlign w:val="center"/>
          </w:tcPr>
          <w:p>
            <w:pPr>
              <w:spacing w:after="0"/>
            </w:pPr>
            <w:r>
              <w:rPr>
                <w:rFonts w:ascii="Aptos" w:hAnsi="Aptos"/>
                <w:sz w:val="14"/>
              </w:rPr>
              <w:t>569</w:t>
            </w:r>
          </w:p>
        </w:tc>
        <w:tc>
          <w:tcPr>
            <w:tcW w:type="dxa" w:w="1181"/>
            <w:vAlign w:val="center"/>
          </w:tcPr>
          <w:p>
            <w:pPr>
              <w:spacing w:after="0"/>
            </w:pPr>
            <w:r>
              <w:rPr>
                <w:rFonts w:ascii="Aptos" w:hAnsi="Aptos"/>
                <w:sz w:val="14"/>
              </w:rPr>
              <w:t>605.1</w:t>
            </w:r>
          </w:p>
        </w:tc>
        <w:tc>
          <w:tcPr>
            <w:tcW w:type="dxa" w:w="979"/>
            <w:vAlign w:val="center"/>
          </w:tcPr>
          <w:p>
            <w:pPr>
              <w:spacing w:after="0"/>
            </w:pPr>
            <w:r>
              <w:rPr>
                <w:rFonts w:ascii="Aptos" w:hAnsi="Aptos"/>
                <w:sz w:val="14"/>
              </w:rPr>
              <w:t>6.34%</w:t>
            </w:r>
          </w:p>
        </w:tc>
        <w:tc>
          <w:tcPr>
            <w:tcW w:type="dxa" w:w="1296"/>
            <w:vAlign w:val="center"/>
          </w:tcPr>
          <w:p>
            <w:pPr>
              <w:spacing w:after="0"/>
            </w:pPr>
            <w:r>
              <w:rPr>
                <w:rFonts w:ascii="Aptos" w:hAnsi="Aptos"/>
                <w:sz w:val="14"/>
              </w:rPr>
              <w:t>6.27%</w:t>
            </w:r>
          </w:p>
        </w:tc>
        <w:tc>
          <w:tcPr>
            <w:tcW w:type="dxa" w:w="2232"/>
            <w:vAlign w:val="center"/>
          </w:tcPr>
          <w:p>
            <w:pPr>
              <w:spacing w:after="0"/>
            </w:pPr>
            <w:r>
              <w:rPr>
                <w:rFonts w:ascii="Aptos" w:hAnsi="Aptos"/>
                <w:sz w:val="14"/>
              </w:rPr>
              <w:t>Auto approve</w:t>
            </w:r>
          </w:p>
        </w:tc>
      </w:tr>
      <w:tr>
        <w:tc>
          <w:tcPr>
            <w:tcW w:type="dxa" w:w="648"/>
            <w:vAlign w:val="center"/>
          </w:tcPr>
          <w:p>
            <w:pPr>
              <w:spacing w:after="0"/>
            </w:pPr>
            <w:r>
              <w:rPr>
                <w:rFonts w:ascii="Aptos" w:hAnsi="Aptos"/>
                <w:sz w:val="14"/>
              </w:rPr>
              <w:t>G</w:t>
            </w:r>
          </w:p>
        </w:tc>
        <w:tc>
          <w:tcPr>
            <w:tcW w:type="dxa" w:w="1512"/>
            <w:vAlign w:val="center"/>
          </w:tcPr>
          <w:p>
            <w:pPr>
              <w:spacing w:after="0"/>
            </w:pPr>
            <w:r>
              <w:rPr>
                <w:rFonts w:ascii="Aptos" w:hAnsi="Aptos"/>
                <w:sz w:val="14"/>
              </w:rPr>
              <w:t>554.5–561.6</w:t>
            </w:r>
          </w:p>
        </w:tc>
        <w:tc>
          <w:tcPr>
            <w:tcW w:type="dxa" w:w="936"/>
            <w:vAlign w:val="center"/>
          </w:tcPr>
          <w:p>
            <w:pPr>
              <w:spacing w:after="0"/>
            </w:pPr>
            <w:r>
              <w:rPr>
                <w:rFonts w:ascii="Aptos" w:hAnsi="Aptos"/>
                <w:sz w:val="14"/>
              </w:rPr>
              <w:t>629</w:t>
            </w:r>
          </w:p>
        </w:tc>
        <w:tc>
          <w:tcPr>
            <w:tcW w:type="dxa" w:w="1181"/>
            <w:vAlign w:val="center"/>
          </w:tcPr>
          <w:p>
            <w:pPr>
              <w:spacing w:after="0"/>
            </w:pPr>
            <w:r>
              <w:rPr>
                <w:rFonts w:ascii="Aptos" w:hAnsi="Aptos"/>
                <w:sz w:val="14"/>
              </w:rPr>
              <w:t>622.9</w:t>
            </w:r>
          </w:p>
        </w:tc>
        <w:tc>
          <w:tcPr>
            <w:tcW w:type="dxa" w:w="979"/>
            <w:vAlign w:val="center"/>
          </w:tcPr>
          <w:p>
            <w:pPr>
              <w:spacing w:after="0"/>
            </w:pPr>
            <w:r>
              <w:rPr>
                <w:rFonts w:ascii="Aptos" w:hAnsi="Aptos"/>
                <w:sz w:val="14"/>
              </w:rPr>
              <w:t>7.90%</w:t>
            </w:r>
          </w:p>
        </w:tc>
        <w:tc>
          <w:tcPr>
            <w:tcW w:type="dxa" w:w="1296"/>
            <w:vAlign w:val="center"/>
          </w:tcPr>
          <w:p>
            <w:pPr>
              <w:spacing w:after="0"/>
            </w:pPr>
            <w:r>
              <w:rPr>
                <w:rFonts w:ascii="Aptos" w:hAnsi="Aptos"/>
                <w:sz w:val="14"/>
              </w:rPr>
              <w:t>8.28%</w:t>
            </w:r>
          </w:p>
        </w:tc>
        <w:tc>
          <w:tcPr>
            <w:tcW w:type="dxa" w:w="2232"/>
            <w:vAlign w:val="center"/>
          </w:tcPr>
          <w:p>
            <w:pPr>
              <w:spacing w:after="0"/>
            </w:pPr>
            <w:r>
              <w:rPr>
                <w:rFonts w:ascii="Aptos" w:hAnsi="Aptos"/>
                <w:sz w:val="14"/>
              </w:rPr>
              <w:t>Mixed: apply PD cutoffs (approve/review)</w:t>
            </w:r>
          </w:p>
        </w:tc>
      </w:tr>
      <w:tr>
        <w:tc>
          <w:tcPr>
            <w:tcW w:type="dxa" w:w="648"/>
            <w:vAlign w:val="center"/>
          </w:tcPr>
          <w:p>
            <w:pPr>
              <w:spacing w:after="0"/>
            </w:pPr>
            <w:r>
              <w:rPr>
                <w:rFonts w:ascii="Aptos" w:hAnsi="Aptos"/>
                <w:sz w:val="14"/>
              </w:rPr>
              <w:t>H</w:t>
            </w:r>
          </w:p>
        </w:tc>
        <w:tc>
          <w:tcPr>
            <w:tcW w:type="dxa" w:w="1512"/>
            <w:vAlign w:val="center"/>
          </w:tcPr>
          <w:p>
            <w:pPr>
              <w:spacing w:after="0"/>
            </w:pPr>
            <w:r>
              <w:rPr>
                <w:rFonts w:ascii="Aptos" w:hAnsi="Aptos"/>
                <w:sz w:val="14"/>
              </w:rPr>
              <w:t>545.8–554.5</w:t>
            </w:r>
          </w:p>
        </w:tc>
        <w:tc>
          <w:tcPr>
            <w:tcW w:type="dxa" w:w="936"/>
            <w:vAlign w:val="center"/>
          </w:tcPr>
          <w:p>
            <w:pPr>
              <w:spacing w:after="0"/>
            </w:pPr>
            <w:r>
              <w:rPr>
                <w:rFonts w:ascii="Aptos" w:hAnsi="Aptos"/>
                <w:sz w:val="14"/>
              </w:rPr>
              <w:t>735</w:t>
            </w:r>
          </w:p>
        </w:tc>
        <w:tc>
          <w:tcPr>
            <w:tcW w:type="dxa" w:w="1181"/>
            <w:vAlign w:val="center"/>
          </w:tcPr>
          <w:p>
            <w:pPr>
              <w:spacing w:after="0"/>
            </w:pPr>
            <w:r>
              <w:rPr>
                <w:rFonts w:ascii="Aptos" w:hAnsi="Aptos"/>
                <w:sz w:val="14"/>
              </w:rPr>
              <w:t>695.1</w:t>
            </w:r>
          </w:p>
        </w:tc>
        <w:tc>
          <w:tcPr>
            <w:tcW w:type="dxa" w:w="979"/>
            <w:vAlign w:val="center"/>
          </w:tcPr>
          <w:p>
            <w:pPr>
              <w:spacing w:after="0"/>
            </w:pPr>
            <w:r>
              <w:rPr>
                <w:rFonts w:ascii="Aptos" w:hAnsi="Aptos"/>
                <w:sz w:val="14"/>
              </w:rPr>
              <w:t>10.06%</w:t>
            </w:r>
          </w:p>
        </w:tc>
        <w:tc>
          <w:tcPr>
            <w:tcW w:type="dxa" w:w="1296"/>
            <w:vAlign w:val="center"/>
          </w:tcPr>
          <w:p>
            <w:pPr>
              <w:spacing w:after="0"/>
            </w:pPr>
            <w:r>
              <w:rPr>
                <w:rFonts w:ascii="Aptos" w:hAnsi="Aptos"/>
                <w:sz w:val="14"/>
              </w:rPr>
              <w:t>9.67%</w:t>
            </w:r>
          </w:p>
        </w:tc>
        <w:tc>
          <w:tcPr>
            <w:tcW w:type="dxa" w:w="2232"/>
            <w:vAlign w:val="center"/>
          </w:tcPr>
          <w:p>
            <w:pPr>
              <w:spacing w:after="0"/>
            </w:pPr>
            <w:r>
              <w:rPr>
                <w:rFonts w:ascii="Aptos" w:hAnsi="Aptos"/>
                <w:sz w:val="14"/>
              </w:rPr>
              <w:t>Manual review</w:t>
            </w:r>
          </w:p>
        </w:tc>
      </w:tr>
      <w:tr>
        <w:tc>
          <w:tcPr>
            <w:tcW w:type="dxa" w:w="648"/>
            <w:vAlign w:val="center"/>
          </w:tcPr>
          <w:p>
            <w:pPr>
              <w:spacing w:after="0"/>
            </w:pPr>
            <w:r>
              <w:rPr>
                <w:rFonts w:ascii="Aptos" w:hAnsi="Aptos"/>
                <w:sz w:val="14"/>
              </w:rPr>
              <w:t>I</w:t>
            </w:r>
          </w:p>
        </w:tc>
        <w:tc>
          <w:tcPr>
            <w:tcW w:type="dxa" w:w="1512"/>
            <w:vAlign w:val="center"/>
          </w:tcPr>
          <w:p>
            <w:pPr>
              <w:spacing w:after="0"/>
            </w:pPr>
            <w:r>
              <w:rPr>
                <w:rFonts w:ascii="Aptos" w:hAnsi="Aptos"/>
                <w:sz w:val="14"/>
              </w:rPr>
              <w:t>532.7–545.8</w:t>
            </w:r>
          </w:p>
        </w:tc>
        <w:tc>
          <w:tcPr>
            <w:tcW w:type="dxa" w:w="936"/>
            <w:vAlign w:val="center"/>
          </w:tcPr>
          <w:p>
            <w:pPr>
              <w:spacing w:after="0"/>
            </w:pPr>
            <w:r>
              <w:rPr>
                <w:rFonts w:ascii="Aptos" w:hAnsi="Aptos"/>
                <w:sz w:val="14"/>
              </w:rPr>
              <w:t>771</w:t>
            </w:r>
          </w:p>
        </w:tc>
        <w:tc>
          <w:tcPr>
            <w:tcW w:type="dxa" w:w="1181"/>
            <w:vAlign w:val="center"/>
          </w:tcPr>
          <w:p>
            <w:pPr>
              <w:spacing w:after="0"/>
            </w:pPr>
            <w:r>
              <w:rPr>
                <w:rFonts w:ascii="Aptos" w:hAnsi="Aptos"/>
                <w:sz w:val="14"/>
              </w:rPr>
              <w:t>627.4</w:t>
            </w:r>
          </w:p>
        </w:tc>
        <w:tc>
          <w:tcPr>
            <w:tcW w:type="dxa" w:w="979"/>
            <w:vAlign w:val="center"/>
          </w:tcPr>
          <w:p>
            <w:pPr>
              <w:spacing w:after="0"/>
            </w:pPr>
            <w:r>
              <w:rPr>
                <w:rFonts w:ascii="Aptos" w:hAnsi="Aptos"/>
                <w:sz w:val="14"/>
              </w:rPr>
              <w:t>13.91%</w:t>
            </w:r>
          </w:p>
        </w:tc>
        <w:tc>
          <w:tcPr>
            <w:tcW w:type="dxa" w:w="1296"/>
            <w:vAlign w:val="center"/>
          </w:tcPr>
          <w:p>
            <w:pPr>
              <w:spacing w:after="0"/>
            </w:pPr>
            <w:r>
              <w:rPr>
                <w:rFonts w:ascii="Aptos" w:hAnsi="Aptos"/>
                <w:sz w:val="14"/>
              </w:rPr>
              <w:t>14.65%</w:t>
            </w:r>
          </w:p>
        </w:tc>
        <w:tc>
          <w:tcPr>
            <w:tcW w:type="dxa" w:w="2232"/>
            <w:vAlign w:val="center"/>
          </w:tcPr>
          <w:p>
            <w:pPr>
              <w:spacing w:after="0"/>
            </w:pPr>
            <w:r>
              <w:rPr>
                <w:rFonts w:ascii="Aptos" w:hAnsi="Aptos"/>
                <w:sz w:val="14"/>
              </w:rPr>
              <w:t>Mixed: apply PD cutoffs (review/decline)</w:t>
            </w:r>
          </w:p>
        </w:tc>
      </w:tr>
      <w:tr>
        <w:tc>
          <w:tcPr>
            <w:tcW w:type="dxa" w:w="648"/>
            <w:vAlign w:val="center"/>
          </w:tcPr>
          <w:p>
            <w:pPr>
              <w:spacing w:after="0"/>
            </w:pPr>
            <w:r>
              <w:rPr>
                <w:rFonts w:ascii="Aptos" w:hAnsi="Aptos"/>
                <w:sz w:val="14"/>
              </w:rPr>
              <w:t>J</w:t>
            </w:r>
          </w:p>
        </w:tc>
        <w:tc>
          <w:tcPr>
            <w:tcW w:type="dxa" w:w="1512"/>
            <w:vAlign w:val="center"/>
          </w:tcPr>
          <w:p>
            <w:pPr>
              <w:spacing w:after="0"/>
            </w:pPr>
            <w:r>
              <w:rPr>
                <w:rFonts w:ascii="Aptos" w:hAnsi="Aptos"/>
                <w:sz w:val="14"/>
              </w:rPr>
              <w:t>468.3–532.7</w:t>
            </w:r>
          </w:p>
        </w:tc>
        <w:tc>
          <w:tcPr>
            <w:tcW w:type="dxa" w:w="936"/>
            <w:vAlign w:val="center"/>
          </w:tcPr>
          <w:p>
            <w:pPr>
              <w:spacing w:after="0"/>
            </w:pPr>
            <w:r>
              <w:rPr>
                <w:rFonts w:ascii="Aptos" w:hAnsi="Aptos"/>
                <w:sz w:val="14"/>
              </w:rPr>
              <w:t>978</w:t>
            </w:r>
          </w:p>
        </w:tc>
        <w:tc>
          <w:tcPr>
            <w:tcW w:type="dxa" w:w="1181"/>
            <w:vAlign w:val="center"/>
          </w:tcPr>
          <w:p>
            <w:pPr>
              <w:spacing w:after="0"/>
            </w:pPr>
            <w:r>
              <w:rPr>
                <w:rFonts w:ascii="Aptos" w:hAnsi="Aptos"/>
                <w:sz w:val="14"/>
              </w:rPr>
              <w:t>612.1</w:t>
            </w:r>
          </w:p>
        </w:tc>
        <w:tc>
          <w:tcPr>
            <w:tcW w:type="dxa" w:w="979"/>
            <w:vAlign w:val="center"/>
          </w:tcPr>
          <w:p>
            <w:pPr>
              <w:spacing w:after="0"/>
            </w:pPr>
            <w:r>
              <w:rPr>
                <w:rFonts w:ascii="Aptos" w:hAnsi="Aptos"/>
                <w:sz w:val="14"/>
              </w:rPr>
              <w:t>24.69%</w:t>
            </w:r>
          </w:p>
        </w:tc>
        <w:tc>
          <w:tcPr>
            <w:tcW w:type="dxa" w:w="1296"/>
            <w:vAlign w:val="center"/>
          </w:tcPr>
          <w:p>
            <w:pPr>
              <w:spacing w:after="0"/>
            </w:pPr>
            <w:r>
              <w:rPr>
                <w:rFonts w:ascii="Aptos" w:hAnsi="Aptos"/>
                <w:sz w:val="14"/>
              </w:rPr>
              <w:t>25.37%</w:t>
            </w:r>
          </w:p>
        </w:tc>
        <w:tc>
          <w:tcPr>
            <w:tcW w:type="dxa" w:w="2232"/>
            <w:vAlign w:val="center"/>
          </w:tcPr>
          <w:p>
            <w:pPr>
              <w:spacing w:after="0"/>
            </w:pPr>
            <w:r>
              <w:rPr>
                <w:rFonts w:ascii="Aptos" w:hAnsi="Aptos"/>
                <w:sz w:val="14"/>
              </w:rPr>
              <w:t>Hard decline</w:t>
            </w:r>
          </w:p>
        </w:tc>
      </w:tr>
    </w:tbl>
    <w:p>
      <w:r>
        <w:t>Grades G and I span a proposed decision boundary, so their grade-level action is mixed. Apply the PD thresholds to each applicant rather than assigning one action to everyone in those two grades. For reference, Grade G spans calibrated PDs of 7.04%–8.83%; Grade I spans 11.57%–17.08%.</w:t>
      </w:r>
    </w:p>
    <w:p>
      <w:pPr>
        <w:pStyle w:val="Heading1"/>
      </w:pPr>
      <w:r>
        <w:t>3. Proposed decision strategy and business use</w:t>
      </w:r>
    </w:p>
    <w:p>
      <w:r>
        <w:t>The following policy uses the thresholds proposed for this project. The exact PD threshold is applied to each applicant; score equivalents use the Task 4 scale (600 points at 50:1 good:bad odds; PDO=20).</w:t>
      </w:r>
    </w:p>
    <w:tbl>
      <w:tblPr>
        <w:tblStyle w:val="LightShading-Accent1"/>
        <w:tblW w:type="auto" w:w="0"/>
        <w:jc w:val="center"/>
        <w:tblLook w:firstColumn="1" w:firstRow="1" w:lastColumn="0" w:lastRow="0" w:noHBand="0" w:noVBand="1" w:val="04A0"/>
      </w:tblPr>
      <w:tblGrid>
        <w:gridCol w:w="2613"/>
        <w:gridCol w:w="2613"/>
        <w:gridCol w:w="2613"/>
        <w:gridCol w:w="2613"/>
      </w:tblGrid>
      <w:tr>
        <w:trPr>
          <w:tblHeader/>
        </w:trPr>
        <w:tc>
          <w:tcPr>
            <w:tcW w:type="dxa" w:w="1656"/>
            <w:shd w:fill="D9EAF7"/>
          </w:tcPr>
          <w:p>
            <w:pPr>
              <w:spacing w:after="0"/>
            </w:pPr>
            <w:r>
              <w:rPr>
                <w:rFonts w:ascii="Aptos" w:hAnsi="Aptos"/>
                <w:b/>
                <w:sz w:val="16"/>
              </w:rPr>
              <w:t>Action</w:t>
            </w:r>
          </w:p>
        </w:tc>
        <w:tc>
          <w:tcPr>
            <w:tcW w:type="dxa" w:w="2304"/>
            <w:shd w:fill="D9EAF7"/>
          </w:tcPr>
          <w:p>
            <w:pPr>
              <w:spacing w:after="0"/>
            </w:pPr>
            <w:r>
              <w:rPr>
                <w:rFonts w:ascii="Aptos" w:hAnsi="Aptos"/>
                <w:b/>
                <w:sz w:val="16"/>
              </w:rPr>
              <w:t>Calibrated PD rule</w:t>
            </w:r>
          </w:p>
        </w:tc>
        <w:tc>
          <w:tcPr>
            <w:tcW w:type="dxa" w:w="3024"/>
            <w:shd w:fill="D9EAF7"/>
          </w:tcPr>
          <w:p>
            <w:pPr>
              <w:spacing w:after="0"/>
            </w:pPr>
            <w:r>
              <w:rPr>
                <w:rFonts w:ascii="Aptos" w:hAnsi="Aptos"/>
                <w:b/>
                <w:sz w:val="16"/>
              </w:rPr>
              <w:t>Equivalent score rule</w:t>
            </w:r>
          </w:p>
        </w:tc>
        <w:tc>
          <w:tcPr>
            <w:tcW w:type="dxa" w:w="1440"/>
            <w:shd w:fill="D9EAF7"/>
          </w:tcPr>
          <w:p>
            <w:pPr>
              <w:spacing w:after="0"/>
            </w:pPr>
            <w:r>
              <w:rPr>
                <w:rFonts w:ascii="Aptos" w:hAnsi="Aptos"/>
                <w:b/>
                <w:sz w:val="16"/>
              </w:rPr>
              <w:t>Validation clients</w:t>
            </w:r>
          </w:p>
        </w:tc>
      </w:tr>
      <w:tr>
        <w:tc>
          <w:tcPr>
            <w:tcW w:type="dxa" w:w="1656"/>
            <w:vAlign w:val="center"/>
          </w:tcPr>
          <w:p>
            <w:pPr>
              <w:spacing w:after="0"/>
            </w:pPr>
            <w:r>
              <w:rPr>
                <w:rFonts w:ascii="Aptos" w:hAnsi="Aptos"/>
                <w:sz w:val="16"/>
              </w:rPr>
              <w:t>Auto approve</w:t>
            </w:r>
          </w:p>
        </w:tc>
        <w:tc>
          <w:tcPr>
            <w:tcW w:type="dxa" w:w="2304"/>
            <w:vAlign w:val="center"/>
          </w:tcPr>
          <w:p>
            <w:pPr>
              <w:spacing w:after="0"/>
            </w:pPr>
            <w:r>
              <w:rPr>
                <w:rFonts w:ascii="Aptos" w:hAnsi="Aptos"/>
                <w:sz w:val="16"/>
              </w:rPr>
              <w:t>PD &lt; 7.9%</w:t>
            </w:r>
          </w:p>
        </w:tc>
        <w:tc>
          <w:tcPr>
            <w:tcW w:type="dxa" w:w="3024"/>
            <w:vAlign w:val="center"/>
          </w:tcPr>
          <w:p>
            <w:pPr>
              <w:spacing w:after="0"/>
            </w:pPr>
            <w:r>
              <w:rPr>
                <w:rFonts w:ascii="Aptos" w:hAnsi="Aptos"/>
                <w:sz w:val="16"/>
              </w:rPr>
              <w:t>Score &gt; 557.99</w:t>
            </w:r>
          </w:p>
        </w:tc>
        <w:tc>
          <w:tcPr>
            <w:tcW w:type="dxa" w:w="1440"/>
            <w:vAlign w:val="center"/>
          </w:tcPr>
          <w:p>
            <w:pPr>
              <w:spacing w:after="0"/>
            </w:pPr>
            <w:r>
              <w:rPr>
                <w:rFonts w:ascii="Aptos" w:hAnsi="Aptos"/>
                <w:sz w:val="16"/>
              </w:rPr>
              <w:t>3,504</w:t>
            </w:r>
          </w:p>
        </w:tc>
      </w:tr>
      <w:tr>
        <w:tc>
          <w:tcPr>
            <w:tcW w:type="dxa" w:w="1656"/>
            <w:vAlign w:val="center"/>
          </w:tcPr>
          <w:p>
            <w:pPr>
              <w:spacing w:after="0"/>
            </w:pPr>
            <w:r>
              <w:rPr>
                <w:rFonts w:ascii="Aptos" w:hAnsi="Aptos"/>
                <w:sz w:val="16"/>
              </w:rPr>
              <w:t>Manual review</w:t>
            </w:r>
          </w:p>
        </w:tc>
        <w:tc>
          <w:tcPr>
            <w:tcW w:type="dxa" w:w="2304"/>
            <w:vAlign w:val="center"/>
          </w:tcPr>
          <w:p>
            <w:pPr>
              <w:spacing w:after="0"/>
            </w:pPr>
            <w:r>
              <w:rPr>
                <w:rFonts w:ascii="Aptos" w:hAnsi="Aptos"/>
                <w:sz w:val="16"/>
              </w:rPr>
              <w:t>7.9% ≤ PD &lt; 14%</w:t>
            </w:r>
          </w:p>
        </w:tc>
        <w:tc>
          <w:tcPr>
            <w:tcW w:type="dxa" w:w="3024"/>
            <w:vAlign w:val="center"/>
          </w:tcPr>
          <w:p>
            <w:pPr>
              <w:spacing w:after="0"/>
            </w:pPr>
            <w:r>
              <w:rPr>
                <w:rFonts w:ascii="Aptos" w:hAnsi="Aptos"/>
                <w:sz w:val="16"/>
              </w:rPr>
              <w:t>539.50 &lt; score ≤ 557.99</w:t>
            </w:r>
          </w:p>
        </w:tc>
        <w:tc>
          <w:tcPr>
            <w:tcW w:type="dxa" w:w="1440"/>
            <w:vAlign w:val="center"/>
          </w:tcPr>
          <w:p>
            <w:pPr>
              <w:spacing w:after="0"/>
            </w:pPr>
            <w:r>
              <w:rPr>
                <w:rFonts w:ascii="Aptos" w:hAnsi="Aptos"/>
                <w:sz w:val="16"/>
              </w:rPr>
              <w:t>1,470</w:t>
            </w:r>
          </w:p>
        </w:tc>
      </w:tr>
      <w:tr>
        <w:tc>
          <w:tcPr>
            <w:tcW w:type="dxa" w:w="1656"/>
            <w:vAlign w:val="center"/>
          </w:tcPr>
          <w:p>
            <w:pPr>
              <w:spacing w:after="0"/>
            </w:pPr>
            <w:r>
              <w:rPr>
                <w:rFonts w:ascii="Aptos" w:hAnsi="Aptos"/>
                <w:sz w:val="16"/>
              </w:rPr>
              <w:t>Hard decline</w:t>
            </w:r>
          </w:p>
        </w:tc>
        <w:tc>
          <w:tcPr>
            <w:tcW w:type="dxa" w:w="2304"/>
            <w:vAlign w:val="center"/>
          </w:tcPr>
          <w:p>
            <w:pPr>
              <w:spacing w:after="0"/>
            </w:pPr>
            <w:r>
              <w:rPr>
                <w:rFonts w:ascii="Aptos" w:hAnsi="Aptos"/>
                <w:sz w:val="16"/>
              </w:rPr>
              <w:t>PD ≥ 14%</w:t>
            </w:r>
          </w:p>
        </w:tc>
        <w:tc>
          <w:tcPr>
            <w:tcW w:type="dxa" w:w="3024"/>
            <w:vAlign w:val="center"/>
          </w:tcPr>
          <w:p>
            <w:pPr>
              <w:spacing w:after="0"/>
            </w:pPr>
            <w:r>
              <w:rPr>
                <w:rFonts w:ascii="Aptos" w:hAnsi="Aptos"/>
                <w:sz w:val="16"/>
              </w:rPr>
              <w:t>Score ≤ 539.50</w:t>
            </w:r>
          </w:p>
        </w:tc>
        <w:tc>
          <w:tcPr>
            <w:tcW w:type="dxa" w:w="1440"/>
            <w:vAlign w:val="center"/>
          </w:tcPr>
          <w:p>
            <w:pPr>
              <w:spacing w:after="0"/>
            </w:pPr>
            <w:r>
              <w:rPr>
                <w:rFonts w:ascii="Aptos" w:hAnsi="Aptos"/>
                <w:sz w:val="16"/>
              </w:rPr>
              <w:t>1,326</w:t>
            </w:r>
          </w:p>
        </w:tc>
      </w:tr>
    </w:tbl>
    <w:tbl>
      <w:tblPr>
        <w:tblStyle w:val="LightShading-Accent1"/>
        <w:tblW w:type="auto" w:w="0"/>
        <w:jc w:val="center"/>
        <w:tblLook w:firstColumn="1" w:firstRow="1" w:lastColumn="0" w:lastRow="0" w:noHBand="0" w:noVBand="1" w:val="04A0"/>
      </w:tblPr>
      <w:tblGrid>
        <w:gridCol w:w="1742"/>
        <w:gridCol w:w="1742"/>
        <w:gridCol w:w="1742"/>
        <w:gridCol w:w="1742"/>
        <w:gridCol w:w="1742"/>
        <w:gridCol w:w="1742"/>
      </w:tblGrid>
      <w:tr>
        <w:trPr>
          <w:tblHeader/>
        </w:trPr>
        <w:tc>
          <w:tcPr>
            <w:tcW w:type="dxa" w:w="1800"/>
            <w:shd w:fill="D9EAF7"/>
          </w:tcPr>
          <w:p>
            <w:pPr>
              <w:spacing w:after="0"/>
            </w:pPr>
            <w:r>
              <w:rPr>
                <w:rFonts w:ascii="Aptos" w:hAnsi="Aptos"/>
                <w:b/>
                <w:sz w:val="15"/>
              </w:rPr>
              <w:t>Decision group</w:t>
            </w:r>
          </w:p>
        </w:tc>
        <w:tc>
          <w:tcPr>
            <w:tcW w:type="dxa" w:w="1296"/>
            <w:shd w:fill="D9EAF7"/>
          </w:tcPr>
          <w:p>
            <w:pPr>
              <w:spacing w:after="0"/>
            </w:pPr>
            <w:r>
              <w:rPr>
                <w:rFonts w:ascii="Aptos" w:hAnsi="Aptos"/>
                <w:b/>
                <w:sz w:val="15"/>
              </w:rPr>
              <w:t>Validation N</w:t>
            </w:r>
          </w:p>
        </w:tc>
        <w:tc>
          <w:tcPr>
            <w:tcW w:type="dxa" w:w="1224"/>
            <w:shd w:fill="D9EAF7"/>
          </w:tcPr>
          <w:p>
            <w:pPr>
              <w:spacing w:after="0"/>
            </w:pPr>
            <w:r>
              <w:rPr>
                <w:rFonts w:ascii="Aptos" w:hAnsi="Aptos"/>
                <w:b/>
                <w:sz w:val="15"/>
              </w:rPr>
              <w:t>Sample share</w:t>
            </w:r>
          </w:p>
        </w:tc>
        <w:tc>
          <w:tcPr>
            <w:tcW w:type="dxa" w:w="1512"/>
            <w:shd w:fill="D9EAF7"/>
          </w:tcPr>
          <w:p>
            <w:pPr>
              <w:spacing w:after="0"/>
            </w:pPr>
            <w:r>
              <w:rPr>
                <w:rFonts w:ascii="Aptos" w:hAnsi="Aptos"/>
                <w:b/>
                <w:sz w:val="15"/>
              </w:rPr>
              <w:t>Pop.-equiv. N</w:t>
            </w:r>
          </w:p>
        </w:tc>
        <w:tc>
          <w:tcPr>
            <w:tcW w:type="dxa" w:w="1440"/>
            <w:shd w:fill="D9EAF7"/>
          </w:tcPr>
          <w:p>
            <w:pPr>
              <w:spacing w:after="0"/>
            </w:pPr>
            <w:r>
              <w:rPr>
                <w:rFonts w:ascii="Aptos" w:hAnsi="Aptos"/>
                <w:b/>
                <w:sz w:val="15"/>
              </w:rPr>
              <w:t>Average PD</w:t>
            </w:r>
          </w:p>
        </w:tc>
        <w:tc>
          <w:tcPr>
            <w:tcW w:type="dxa" w:w="1800"/>
            <w:shd w:fill="D9EAF7"/>
          </w:tcPr>
          <w:p>
            <w:pPr>
              <w:spacing w:after="0"/>
            </w:pPr>
            <w:r>
              <w:rPr>
                <w:rFonts w:ascii="Aptos" w:hAnsi="Aptos"/>
                <w:b/>
                <w:sz w:val="15"/>
              </w:rPr>
              <w:t>Weighted observed default</w:t>
            </w:r>
          </w:p>
        </w:tc>
      </w:tr>
      <w:tr>
        <w:tc>
          <w:tcPr>
            <w:tcW w:type="dxa" w:w="1800"/>
            <w:vAlign w:val="center"/>
          </w:tcPr>
          <w:p>
            <w:pPr>
              <w:spacing w:after="0"/>
            </w:pPr>
            <w:r>
              <w:rPr>
                <w:rFonts w:ascii="Aptos" w:hAnsi="Aptos"/>
                <w:sz w:val="15"/>
              </w:rPr>
              <w:t>Auto approve</w:t>
            </w:r>
          </w:p>
        </w:tc>
        <w:tc>
          <w:tcPr>
            <w:tcW w:type="dxa" w:w="1296"/>
            <w:vAlign w:val="center"/>
          </w:tcPr>
          <w:p>
            <w:pPr>
              <w:spacing w:after="0"/>
            </w:pPr>
            <w:r>
              <w:rPr>
                <w:rFonts w:ascii="Aptos" w:hAnsi="Aptos"/>
                <w:sz w:val="15"/>
              </w:rPr>
              <w:t>3504</w:t>
            </w:r>
          </w:p>
        </w:tc>
        <w:tc>
          <w:tcPr>
            <w:tcW w:type="dxa" w:w="1224"/>
            <w:vAlign w:val="center"/>
          </w:tcPr>
          <w:p>
            <w:pPr>
              <w:spacing w:after="0"/>
            </w:pPr>
            <w:r>
              <w:rPr>
                <w:rFonts w:ascii="Aptos" w:hAnsi="Aptos"/>
                <w:sz w:val="15"/>
              </w:rPr>
              <w:t>55.62%</w:t>
            </w:r>
          </w:p>
        </w:tc>
        <w:tc>
          <w:tcPr>
            <w:tcW w:type="dxa" w:w="1512"/>
            <w:vAlign w:val="center"/>
          </w:tcPr>
          <w:p>
            <w:pPr>
              <w:spacing w:after="0"/>
            </w:pPr>
            <w:r>
              <w:rPr>
                <w:rFonts w:ascii="Aptos" w:hAnsi="Aptos"/>
                <w:sz w:val="15"/>
              </w:rPr>
              <w:t>4,063.7</w:t>
            </w:r>
          </w:p>
        </w:tc>
        <w:tc>
          <w:tcPr>
            <w:tcW w:type="dxa" w:w="1440"/>
            <w:vAlign w:val="center"/>
          </w:tcPr>
          <w:p>
            <w:pPr>
              <w:spacing w:after="0"/>
            </w:pPr>
            <w:r>
              <w:rPr>
                <w:rFonts w:ascii="Aptos" w:hAnsi="Aptos"/>
                <w:sz w:val="15"/>
              </w:rPr>
              <w:t>4.16%</w:t>
            </w:r>
          </w:p>
        </w:tc>
        <w:tc>
          <w:tcPr>
            <w:tcW w:type="dxa" w:w="1800"/>
            <w:vAlign w:val="center"/>
          </w:tcPr>
          <w:p>
            <w:pPr>
              <w:spacing w:after="0"/>
            </w:pPr>
            <w:r>
              <w:rPr>
                <w:rFonts w:ascii="Aptos" w:hAnsi="Aptos"/>
                <w:sz w:val="15"/>
              </w:rPr>
              <w:t>4.00%</w:t>
            </w:r>
          </w:p>
        </w:tc>
      </w:tr>
      <w:tr>
        <w:tc>
          <w:tcPr>
            <w:tcW w:type="dxa" w:w="1800"/>
            <w:vAlign w:val="center"/>
          </w:tcPr>
          <w:p>
            <w:pPr>
              <w:spacing w:after="0"/>
            </w:pPr>
            <w:r>
              <w:rPr>
                <w:rFonts w:ascii="Aptos" w:hAnsi="Aptos"/>
                <w:sz w:val="15"/>
              </w:rPr>
              <w:t>Manual review</w:t>
            </w:r>
          </w:p>
        </w:tc>
        <w:tc>
          <w:tcPr>
            <w:tcW w:type="dxa" w:w="1296"/>
            <w:vAlign w:val="center"/>
          </w:tcPr>
          <w:p>
            <w:pPr>
              <w:spacing w:after="0"/>
            </w:pPr>
            <w:r>
              <w:rPr>
                <w:rFonts w:ascii="Aptos" w:hAnsi="Aptos"/>
                <w:sz w:val="15"/>
              </w:rPr>
              <w:t>1470</w:t>
            </w:r>
          </w:p>
        </w:tc>
        <w:tc>
          <w:tcPr>
            <w:tcW w:type="dxa" w:w="1224"/>
            <w:vAlign w:val="center"/>
          </w:tcPr>
          <w:p>
            <w:pPr>
              <w:spacing w:after="0"/>
            </w:pPr>
            <w:r>
              <w:rPr>
                <w:rFonts w:ascii="Aptos" w:hAnsi="Aptos"/>
                <w:sz w:val="15"/>
              </w:rPr>
              <w:t>23.33%</w:t>
            </w:r>
          </w:p>
        </w:tc>
        <w:tc>
          <w:tcPr>
            <w:tcW w:type="dxa" w:w="1512"/>
            <w:vAlign w:val="center"/>
          </w:tcPr>
          <w:p>
            <w:pPr>
              <w:spacing w:after="0"/>
            </w:pPr>
            <w:r>
              <w:rPr>
                <w:rFonts w:ascii="Aptos" w:hAnsi="Aptos"/>
                <w:sz w:val="15"/>
              </w:rPr>
              <w:t>1,359.4</w:t>
            </w:r>
          </w:p>
        </w:tc>
        <w:tc>
          <w:tcPr>
            <w:tcW w:type="dxa" w:w="1440"/>
            <w:vAlign w:val="center"/>
          </w:tcPr>
          <w:p>
            <w:pPr>
              <w:spacing w:after="0"/>
            </w:pPr>
            <w:r>
              <w:rPr>
                <w:rFonts w:ascii="Aptos" w:hAnsi="Aptos"/>
                <w:sz w:val="15"/>
              </w:rPr>
              <w:t>10.42%</w:t>
            </w:r>
          </w:p>
        </w:tc>
        <w:tc>
          <w:tcPr>
            <w:tcW w:type="dxa" w:w="1800"/>
            <w:vAlign w:val="center"/>
          </w:tcPr>
          <w:p>
            <w:pPr>
              <w:spacing w:after="0"/>
            </w:pPr>
            <w:r>
              <w:rPr>
                <w:rFonts w:ascii="Aptos" w:hAnsi="Aptos"/>
                <w:sz w:val="15"/>
              </w:rPr>
              <w:t>10.36%</w:t>
            </w:r>
          </w:p>
        </w:tc>
      </w:tr>
      <w:tr>
        <w:tc>
          <w:tcPr>
            <w:tcW w:type="dxa" w:w="1800"/>
            <w:vAlign w:val="center"/>
          </w:tcPr>
          <w:p>
            <w:pPr>
              <w:spacing w:after="0"/>
            </w:pPr>
            <w:r>
              <w:rPr>
                <w:rFonts w:ascii="Aptos" w:hAnsi="Aptos"/>
                <w:sz w:val="15"/>
              </w:rPr>
              <w:t>Hard decline</w:t>
            </w:r>
          </w:p>
        </w:tc>
        <w:tc>
          <w:tcPr>
            <w:tcW w:type="dxa" w:w="1296"/>
            <w:vAlign w:val="center"/>
          </w:tcPr>
          <w:p>
            <w:pPr>
              <w:spacing w:after="0"/>
            </w:pPr>
            <w:r>
              <w:rPr>
                <w:rFonts w:ascii="Aptos" w:hAnsi="Aptos"/>
                <w:sz w:val="15"/>
              </w:rPr>
              <w:t>1326</w:t>
            </w:r>
          </w:p>
        </w:tc>
        <w:tc>
          <w:tcPr>
            <w:tcW w:type="dxa" w:w="1224"/>
            <w:vAlign w:val="center"/>
          </w:tcPr>
          <w:p>
            <w:pPr>
              <w:spacing w:after="0"/>
            </w:pPr>
            <w:r>
              <w:rPr>
                <w:rFonts w:ascii="Aptos" w:hAnsi="Aptos"/>
                <w:sz w:val="15"/>
              </w:rPr>
              <w:t>21.05%</w:t>
            </w:r>
          </w:p>
        </w:tc>
        <w:tc>
          <w:tcPr>
            <w:tcW w:type="dxa" w:w="1512"/>
            <w:vAlign w:val="center"/>
          </w:tcPr>
          <w:p>
            <w:pPr>
              <w:spacing w:after="0"/>
            </w:pPr>
            <w:r>
              <w:rPr>
                <w:rFonts w:ascii="Aptos" w:hAnsi="Aptos"/>
                <w:sz w:val="15"/>
              </w:rPr>
              <w:t>876.8</w:t>
            </w:r>
          </w:p>
        </w:tc>
        <w:tc>
          <w:tcPr>
            <w:tcW w:type="dxa" w:w="1440"/>
            <w:vAlign w:val="center"/>
          </w:tcPr>
          <w:p>
            <w:pPr>
              <w:spacing w:after="0"/>
            </w:pPr>
            <w:r>
              <w:rPr>
                <w:rFonts w:ascii="Aptos" w:hAnsi="Aptos"/>
                <w:sz w:val="15"/>
              </w:rPr>
              <w:t>21.90%</w:t>
            </w:r>
          </w:p>
        </w:tc>
        <w:tc>
          <w:tcPr>
            <w:tcW w:type="dxa" w:w="1800"/>
            <w:vAlign w:val="center"/>
          </w:tcPr>
          <w:p>
            <w:pPr>
              <w:spacing w:after="0"/>
            </w:pPr>
            <w:r>
              <w:rPr>
                <w:rFonts w:ascii="Aptos" w:hAnsi="Aptos"/>
                <w:sz w:val="15"/>
              </w:rPr>
              <w:t>22.88%</w:t>
            </w:r>
          </w:p>
        </w:tc>
      </w:tr>
    </w:tbl>
    <w:p>
      <w:r>
        <w:t>In this validation sample, the policy auto-approves 3,504 applicants (55.6%); their population-weighted observed default rate is 4.00%. It sends 1,470 applicants (23.3%) to manual review, with a 10.36% weighted observed rate, and declines 1,326 (21.0%), with a 22.88% weighted observed rate. This separates lower-risk business for quicker approval, reserves review capacity for intermediate risk, and blocks the highest-risk segment.</w:t>
      </w:r>
    </w:p>
    <w:p>
      <w:r>
        <w:t>This is an illustrative policy, not yet an economically optimized cutoff. A monetary profit/loss optimization requires assumptions for loan amount/exposure, interest margin and other revenue, loss given default or recovery, and manual-review costs. The thresholds can be compared against those economics in the cutoff-optimization task.</w:t>
      </w:r>
    </w:p>
    <w:p>
      <w:pPr>
        <w:pStyle w:val="Heading1"/>
      </w:pPr>
      <w:r>
        <w:t>4. Reproducibility and deliverables</w:t>
      </w:r>
    </w:p>
    <w:p>
      <w:r>
        <w:t>Run from the seminar project folder:</w:t>
      </w:r>
    </w:p>
    <w:p>
      <w:pPr>
        <w:ind w:left="259"/>
      </w:pPr>
      <w:r>
        <w:rPr>
          <w:rFonts w:ascii="Consolas" w:hAnsi="Consolas"/>
          <w:sz w:val="15"/>
        </w:rPr>
        <w:t>python task5_pd_calibration.py --input AppData.xlsx --task3-dir task3_output --output-dir task5_output</w:t>
      </w:r>
    </w:p>
    <w:p>
      <w:pPr>
        <w:pStyle w:val="ListBullet"/>
      </w:pPr>
      <w:r>
        <w:t>validation_scored_with_grades.csv includes SK_ID_CURR, TARGET, score, calibrated PD, Grade A–J, and the proposed applicant-level decision.</w:t>
      </w:r>
    </w:p>
    <w:p>
      <w:pPr>
        <w:pStyle w:val="ListBullet"/>
      </w:pPr>
      <w:r>
        <w:t>grade_cutoffs.csv contains training-derived score bands.</w:t>
      </w:r>
    </w:p>
    <w:p>
      <w:pPr>
        <w:pStyle w:val="ListBullet"/>
      </w:pPr>
      <w:r>
        <w:t>validation_grade_calibration.csv reports per-grade counts, predicted PD, observed default rate, and suggested action.</w:t>
      </w:r>
    </w:p>
    <w:p>
      <w:pPr>
        <w:pStyle w:val="ListBullet"/>
      </w:pPr>
      <w:r>
        <w:t>validation_decision_summary.csv reports validation and population-weighted outcomes for each policy action.</w:t>
      </w:r>
    </w:p>
    <w:p>
      <w:r>
        <w:t>The model was re-estimated on the training partition only. Validation observations did not determine bins, WoE values, coefficients, the intercept adjustment, or grade boundaries. AI assistance was used to draft code and organize this report; results were run locally on the supplied dataset and should be reviewed by the student.</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1BP450 | Task 5 PD Calibration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84"/>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