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206" w:rsidRPr="00DE4E75" w:rsidRDefault="00100206" w:rsidP="005B6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4E75">
        <w:rPr>
          <w:rFonts w:ascii="Times New Roman" w:hAnsi="Times New Roman" w:cs="Times New Roman"/>
          <w:sz w:val="24"/>
          <w:szCs w:val="24"/>
        </w:rPr>
        <w:t>University of California, Los Angeles</w:t>
      </w:r>
    </w:p>
    <w:p w:rsidR="00100206" w:rsidRPr="00DE4E75" w:rsidRDefault="00100206" w:rsidP="005B6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4E75">
        <w:rPr>
          <w:rFonts w:ascii="Times New Roman" w:hAnsi="Times New Roman" w:cs="Times New Roman"/>
          <w:sz w:val="24"/>
          <w:szCs w:val="24"/>
        </w:rPr>
        <w:t>Department of Political Science</w:t>
      </w:r>
    </w:p>
    <w:p w:rsidR="00100206" w:rsidRDefault="00100206" w:rsidP="005B6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40"/>
          <w:szCs w:val="40"/>
        </w:rPr>
      </w:pPr>
      <w:r w:rsidRPr="005B6CF8">
        <w:rPr>
          <w:rFonts w:ascii="Times New Roman" w:hAnsi="Times New Roman" w:cs="Times New Roman"/>
          <w:b/>
          <w:bCs/>
          <w:iCs/>
          <w:sz w:val="40"/>
          <w:szCs w:val="40"/>
        </w:rPr>
        <w:t>Introduction to Data Analysis</w:t>
      </w:r>
    </w:p>
    <w:p w:rsidR="000B354B" w:rsidRDefault="000B354B" w:rsidP="005B6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4E75">
        <w:rPr>
          <w:rFonts w:ascii="Times New Roman" w:hAnsi="Times New Roman" w:cs="Times New Roman"/>
          <w:sz w:val="24"/>
          <w:szCs w:val="24"/>
        </w:rPr>
        <w:t xml:space="preserve">Political Science 6, </w:t>
      </w:r>
      <w:r w:rsidR="005B6CF8">
        <w:rPr>
          <w:rFonts w:ascii="Times New Roman" w:hAnsi="Times New Roman" w:cs="Times New Roman"/>
          <w:sz w:val="24"/>
          <w:szCs w:val="24"/>
        </w:rPr>
        <w:t xml:space="preserve">2013 </w:t>
      </w:r>
      <w:r w:rsidRPr="00DE4E75">
        <w:rPr>
          <w:rFonts w:ascii="Times New Roman" w:hAnsi="Times New Roman" w:cs="Times New Roman"/>
          <w:sz w:val="24"/>
          <w:szCs w:val="24"/>
        </w:rPr>
        <w:t>Summer Session C</w:t>
      </w:r>
    </w:p>
    <w:p w:rsidR="005B6CF8" w:rsidRPr="00DE4E75" w:rsidRDefault="005B6CF8" w:rsidP="0010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E20" w:rsidRPr="00DE4E75" w:rsidRDefault="008E4E20" w:rsidP="008E4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565">
        <w:rPr>
          <w:rFonts w:ascii="Times New Roman" w:hAnsi="Times New Roman" w:cs="Times New Roman"/>
          <w:i/>
          <w:sz w:val="24"/>
          <w:szCs w:val="24"/>
        </w:rPr>
        <w:t>Instructor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E4E75">
        <w:rPr>
          <w:rFonts w:ascii="Times New Roman" w:hAnsi="Times New Roman" w:cs="Times New Roman"/>
          <w:sz w:val="24"/>
          <w:szCs w:val="24"/>
        </w:rPr>
        <w:t>Daniel Lim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E4E75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DE4E75">
          <w:rPr>
            <w:rStyle w:val="Hyperlink"/>
            <w:rFonts w:ascii="Times New Roman" w:hAnsi="Times New Roman" w:cs="Times New Roman"/>
            <w:sz w:val="24"/>
            <w:szCs w:val="24"/>
          </w:rPr>
          <w:t>danielklim@ucla.edu</w:t>
        </w:r>
      </w:hyperlink>
    </w:p>
    <w:p w:rsidR="000B354B" w:rsidRPr="00DE4E75" w:rsidRDefault="008E4E20" w:rsidP="000B3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565">
        <w:rPr>
          <w:rFonts w:ascii="Times New Roman" w:hAnsi="Times New Roman" w:cs="Times New Roman"/>
          <w:i/>
          <w:sz w:val="24"/>
          <w:szCs w:val="24"/>
        </w:rPr>
        <w:t>Meetings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B354B" w:rsidRPr="00DE4E75">
        <w:rPr>
          <w:rFonts w:ascii="Times New Roman" w:hAnsi="Times New Roman" w:cs="Times New Roman"/>
          <w:sz w:val="24"/>
          <w:szCs w:val="24"/>
        </w:rPr>
        <w:t xml:space="preserve">1209B Bunche Hall, </w:t>
      </w:r>
      <w:r w:rsidR="000B354B" w:rsidRPr="00DE4E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MW 10:45 AM-12:50 PM</w:t>
      </w:r>
    </w:p>
    <w:p w:rsidR="000B354B" w:rsidRDefault="000B354B" w:rsidP="000B3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565">
        <w:rPr>
          <w:rFonts w:ascii="Times New Roman" w:hAnsi="Times New Roman" w:cs="Times New Roman"/>
          <w:i/>
          <w:sz w:val="24"/>
          <w:szCs w:val="24"/>
        </w:rPr>
        <w:t>Office Hours</w:t>
      </w:r>
      <w:r w:rsidR="008371D5">
        <w:rPr>
          <w:rFonts w:ascii="Times New Roman" w:hAnsi="Times New Roman" w:cs="Times New Roman"/>
          <w:sz w:val="24"/>
          <w:szCs w:val="24"/>
        </w:rPr>
        <w:t>: Bunche 4250, MW 1:15-2:30 PM</w:t>
      </w:r>
    </w:p>
    <w:p w:rsidR="003353B5" w:rsidRPr="00DE4E75" w:rsidRDefault="003353B5" w:rsidP="000B3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3B5">
        <w:rPr>
          <w:rFonts w:ascii="Times New Roman" w:hAnsi="Times New Roman" w:cs="Times New Roman"/>
          <w:i/>
          <w:sz w:val="24"/>
          <w:szCs w:val="24"/>
        </w:rPr>
        <w:t>Course Website: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7A7BCF">
          <w:rPr>
            <w:rStyle w:val="Hyperlink"/>
            <w:rFonts w:ascii="Times New Roman" w:hAnsi="Times New Roman" w:cs="Times New Roman"/>
            <w:sz w:val="24"/>
            <w:szCs w:val="24"/>
          </w:rPr>
          <w:t>https://moodle2.sscnet.ucla.edu/course/view/131C-POLSCI6-1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0206" w:rsidRPr="00DE4E75" w:rsidRDefault="00100206" w:rsidP="00C54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E00"/>
          <w:sz w:val="24"/>
          <w:szCs w:val="24"/>
        </w:rPr>
      </w:pPr>
    </w:p>
    <w:p w:rsidR="001C7BD1" w:rsidRPr="00DE4E75" w:rsidRDefault="0014354D" w:rsidP="0014354D">
      <w:pPr>
        <w:pStyle w:val="Default"/>
      </w:pPr>
      <w:r w:rsidRPr="00DE4E75">
        <w:t xml:space="preserve">This course </w:t>
      </w:r>
      <w:r w:rsidR="000F412A">
        <w:t>introduces</w:t>
      </w:r>
      <w:r w:rsidRPr="00DE4E75">
        <w:t xml:space="preserve"> data analytic methods used by social scientists to make inferences about how the world works</w:t>
      </w:r>
      <w:r w:rsidR="009F2995" w:rsidRPr="00DE4E75">
        <w:t xml:space="preserve">. </w:t>
      </w:r>
      <w:r w:rsidR="000F412A">
        <w:t>The curriculum</w:t>
      </w:r>
      <w:r w:rsidR="00473166">
        <w:t xml:space="preserve"> is designed with 3 objectives in mind</w:t>
      </w:r>
      <w:r w:rsidR="009F2995" w:rsidRPr="00DE4E75">
        <w:t xml:space="preserve">. </w:t>
      </w:r>
      <w:r w:rsidR="000F412A">
        <w:t>Objective one</w:t>
      </w:r>
      <w:r w:rsidR="00151C9A" w:rsidRPr="00DE4E75">
        <w:t xml:space="preserve"> is </w:t>
      </w:r>
      <w:r w:rsidR="00473166">
        <w:t xml:space="preserve">to introduce students to basic statistical </w:t>
      </w:r>
      <w:r w:rsidR="00151C9A" w:rsidRPr="00C53779">
        <w:t>theory</w:t>
      </w:r>
      <w:r w:rsidR="00C53779">
        <w:t>.</w:t>
      </w:r>
      <w:r w:rsidR="00151C9A" w:rsidRPr="00DE4E75">
        <w:t xml:space="preserve"> </w:t>
      </w:r>
      <w:r w:rsidR="00C53779">
        <w:t>T</w:t>
      </w:r>
      <w:r w:rsidR="00C509C1">
        <w:t>oward this end, we will examine</w:t>
      </w:r>
      <w:r w:rsidR="00151C9A" w:rsidRPr="00DE4E75">
        <w:t xml:space="preserve"> </w:t>
      </w:r>
      <w:r w:rsidR="00473166">
        <w:t>fundamental</w:t>
      </w:r>
      <w:r w:rsidR="00151C9A" w:rsidRPr="00DE4E75">
        <w:t xml:space="preserve"> </w:t>
      </w:r>
      <w:r w:rsidR="00C509C1">
        <w:t xml:space="preserve">statistical </w:t>
      </w:r>
      <w:r w:rsidR="00151C9A" w:rsidRPr="00DE4E75">
        <w:t>concepts, the logic of causality, and common analytic challenges (e.g. con</w:t>
      </w:r>
      <w:bookmarkStart w:id="0" w:name="_GoBack"/>
      <w:bookmarkEnd w:id="0"/>
      <w:r w:rsidR="00151C9A" w:rsidRPr="00DE4E75">
        <w:t xml:space="preserve">founding, bias, correlation versus causation). </w:t>
      </w:r>
      <w:r w:rsidR="00473166">
        <w:t>The s</w:t>
      </w:r>
      <w:r w:rsidR="00151C9A" w:rsidRPr="00DE4E75">
        <w:t>econd</w:t>
      </w:r>
      <w:r w:rsidR="00473166">
        <w:t xml:space="preserve"> objective is to</w:t>
      </w:r>
      <w:r w:rsidR="000B0FCC" w:rsidRPr="00DE4E75">
        <w:t xml:space="preserve"> acquaint students with</w:t>
      </w:r>
      <w:r w:rsidR="00151C9A" w:rsidRPr="00DE4E75">
        <w:t xml:space="preserve"> </w:t>
      </w:r>
      <w:r w:rsidR="00FC5821" w:rsidRPr="00DE4E75">
        <w:t xml:space="preserve">some of the </w:t>
      </w:r>
      <w:r w:rsidR="00151C9A" w:rsidRPr="00C53779">
        <w:t>tools</w:t>
      </w:r>
      <w:r w:rsidR="00151C9A" w:rsidRPr="00DE4E75">
        <w:t xml:space="preserve"> used by social scientists </w:t>
      </w:r>
      <w:r w:rsidR="000B0FCC" w:rsidRPr="00DE4E75">
        <w:t xml:space="preserve">to </w:t>
      </w:r>
      <w:r w:rsidR="00FC5821" w:rsidRPr="00DE4E75">
        <w:t>surmount</w:t>
      </w:r>
      <w:r w:rsidR="00A9317B" w:rsidRPr="00DE4E75">
        <w:t xml:space="preserve"> </w:t>
      </w:r>
      <w:r w:rsidR="00C53779">
        <w:t>said</w:t>
      </w:r>
      <w:r w:rsidR="00FC5821" w:rsidRPr="00DE4E75">
        <w:t xml:space="preserve"> challenges and </w:t>
      </w:r>
      <w:r w:rsidR="000B0FCC" w:rsidRPr="00DE4E75">
        <w:t xml:space="preserve">test hypotheses about the world </w:t>
      </w:r>
      <w:r w:rsidR="00151C9A" w:rsidRPr="00DE4E75">
        <w:t xml:space="preserve">– </w:t>
      </w:r>
      <w:r w:rsidR="00C43A65" w:rsidRPr="00DE4E75">
        <w:t xml:space="preserve">contingency tables, </w:t>
      </w:r>
      <w:r w:rsidR="001C7BD1" w:rsidRPr="00DE4E75">
        <w:t xml:space="preserve">t-tests, </w:t>
      </w:r>
      <w:r w:rsidR="00C43A65" w:rsidRPr="00DE4E75">
        <w:t>regression</w:t>
      </w:r>
      <w:r w:rsidR="00C53779">
        <w:t>,</w:t>
      </w:r>
      <w:r w:rsidR="00151C9A" w:rsidRPr="00DE4E75">
        <w:t xml:space="preserve"> </w:t>
      </w:r>
      <w:r w:rsidR="000B0FCC" w:rsidRPr="00DE4E75">
        <w:t>etc</w:t>
      </w:r>
      <w:r w:rsidR="00C43A65" w:rsidRPr="00DE4E75">
        <w:t>.</w:t>
      </w:r>
      <w:r w:rsidR="009F2995" w:rsidRPr="00DE4E75">
        <w:t xml:space="preserve"> </w:t>
      </w:r>
      <w:r w:rsidR="00473166">
        <w:t>The final objective is to teach students how</w:t>
      </w:r>
      <w:r w:rsidR="000B0FCC" w:rsidRPr="00DE4E75">
        <w:t xml:space="preserve"> to </w:t>
      </w:r>
      <w:r w:rsidR="000B0FCC" w:rsidRPr="00C53779">
        <w:t>present</w:t>
      </w:r>
      <w:r w:rsidR="000B0FCC" w:rsidRPr="00DE4E75">
        <w:t xml:space="preserve"> their data</w:t>
      </w:r>
      <w:r w:rsidR="004C35B0">
        <w:t xml:space="preserve"> and results by effectively combining prose and </w:t>
      </w:r>
      <w:r w:rsidR="00532EFE">
        <w:t xml:space="preserve">graphical </w:t>
      </w:r>
      <w:r w:rsidR="004F7590" w:rsidRPr="00DE4E75">
        <w:t xml:space="preserve">presentations (e.g. </w:t>
      </w:r>
      <w:r w:rsidR="004C35B0">
        <w:t xml:space="preserve">tables, </w:t>
      </w:r>
      <w:r w:rsidR="00C71E2F">
        <w:t>histograms, scatterplots, box</w:t>
      </w:r>
      <w:r w:rsidR="004F7590" w:rsidRPr="00DE4E75">
        <w:t>plots)</w:t>
      </w:r>
      <w:r w:rsidR="000B0FCC" w:rsidRPr="00DE4E75">
        <w:t xml:space="preserve">. In summary, </w:t>
      </w:r>
      <w:r w:rsidR="00473166">
        <w:t xml:space="preserve">the goal of </w:t>
      </w:r>
      <w:r w:rsidR="000B0FCC" w:rsidRPr="00DE4E75">
        <w:t xml:space="preserve">this course </w:t>
      </w:r>
      <w:r w:rsidR="00473166">
        <w:t>is</w:t>
      </w:r>
      <w:r w:rsidR="000B0FCC" w:rsidRPr="00DE4E75">
        <w:t xml:space="preserve"> to teach students how to think about </w:t>
      </w:r>
      <w:r w:rsidR="004F7590" w:rsidRPr="00DE4E75">
        <w:t xml:space="preserve">and analyze </w:t>
      </w:r>
      <w:r w:rsidR="000B0FCC" w:rsidRPr="00DE4E75">
        <w:t>data, and present their findings in</w:t>
      </w:r>
      <w:r w:rsidR="004F7590" w:rsidRPr="00DE4E75">
        <w:t xml:space="preserve"> a clear and compelling manner.</w:t>
      </w:r>
      <w:r w:rsidR="000B0FCC" w:rsidRPr="00DE4E75">
        <w:t xml:space="preserve"> </w:t>
      </w:r>
    </w:p>
    <w:p w:rsidR="00C53779" w:rsidRPr="00DE4E75" w:rsidRDefault="00C53779" w:rsidP="0014354D">
      <w:pPr>
        <w:pStyle w:val="Default"/>
      </w:pPr>
    </w:p>
    <w:p w:rsidR="00100206" w:rsidRPr="00C71E2F" w:rsidRDefault="00100206" w:rsidP="0014354D">
      <w:pPr>
        <w:pStyle w:val="Default"/>
        <w:rPr>
          <w:b/>
        </w:rPr>
      </w:pPr>
      <w:r w:rsidRPr="00C71E2F">
        <w:rPr>
          <w:b/>
        </w:rPr>
        <w:t>Grad</w:t>
      </w:r>
      <w:r w:rsidR="00085E20" w:rsidRPr="00C71E2F">
        <w:rPr>
          <w:b/>
        </w:rPr>
        <w:t>ing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1440"/>
        <w:gridCol w:w="2880"/>
      </w:tblGrid>
      <w:tr w:rsidR="004B7700" w:rsidRPr="00DE4E75" w:rsidTr="00C71E2F">
        <w:tc>
          <w:tcPr>
            <w:tcW w:w="5130" w:type="dxa"/>
            <w:tcBorders>
              <w:bottom w:val="single" w:sz="12" w:space="0" w:color="auto"/>
            </w:tcBorders>
          </w:tcPr>
          <w:p w:rsidR="004B7700" w:rsidRPr="00DE4E75" w:rsidRDefault="004B7700" w:rsidP="00C71E2F">
            <w:pPr>
              <w:ind w:right="18"/>
              <w:rPr>
                <w:rFonts w:ascii="Times New Roman" w:hAnsi="Times New Roman"/>
                <w:i/>
                <w:sz w:val="24"/>
                <w:szCs w:val="24"/>
              </w:rPr>
            </w:pPr>
            <w:r w:rsidRPr="00DE4E75">
              <w:rPr>
                <w:rFonts w:ascii="Times New Roman" w:hAnsi="Times New Roman"/>
                <w:i/>
                <w:sz w:val="24"/>
                <w:szCs w:val="24"/>
              </w:rPr>
              <w:t>Item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4B7700" w:rsidRPr="00DE4E75" w:rsidRDefault="00376FF9" w:rsidP="00C71E2F">
            <w:pPr>
              <w:ind w:right="18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(Due) </w:t>
            </w:r>
            <w:r w:rsidR="004B7700" w:rsidRPr="00DE4E75">
              <w:rPr>
                <w:rFonts w:ascii="Times New Roman" w:hAnsi="Times New Roman"/>
                <w:i/>
                <w:sz w:val="24"/>
                <w:szCs w:val="24"/>
              </w:rPr>
              <w:t>Date</w:t>
            </w:r>
          </w:p>
        </w:tc>
        <w:tc>
          <w:tcPr>
            <w:tcW w:w="2880" w:type="dxa"/>
            <w:tcBorders>
              <w:bottom w:val="single" w:sz="12" w:space="0" w:color="auto"/>
            </w:tcBorders>
          </w:tcPr>
          <w:p w:rsidR="004B7700" w:rsidRPr="00DE4E75" w:rsidRDefault="004B7700" w:rsidP="00981949">
            <w:pPr>
              <w:ind w:right="18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DE4E75">
              <w:rPr>
                <w:rFonts w:ascii="Times New Roman" w:hAnsi="Times New Roman"/>
                <w:i/>
                <w:sz w:val="24"/>
                <w:szCs w:val="24"/>
              </w:rPr>
              <w:t>Portion of Grade</w:t>
            </w:r>
          </w:p>
        </w:tc>
      </w:tr>
      <w:tr w:rsidR="00085E20" w:rsidRPr="00DE4E75" w:rsidTr="00C71E2F">
        <w:trPr>
          <w:trHeight w:val="299"/>
        </w:trPr>
        <w:tc>
          <w:tcPr>
            <w:tcW w:w="5130" w:type="dxa"/>
            <w:tcBorders>
              <w:top w:val="single" w:sz="12" w:space="0" w:color="auto"/>
            </w:tcBorders>
          </w:tcPr>
          <w:p w:rsidR="00085E20" w:rsidRPr="00DE4E75" w:rsidRDefault="00376FF9" w:rsidP="00C71E2F">
            <w:pPr>
              <w:ind w:right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HW</w:t>
            </w:r>
            <w:r w:rsidR="00085E20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085E20" w:rsidRPr="00DE4E75" w:rsidRDefault="003F45EA" w:rsidP="00C71E2F">
            <w:pPr>
              <w:ind w:righ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8/13</w:t>
            </w:r>
          </w:p>
        </w:tc>
        <w:tc>
          <w:tcPr>
            <w:tcW w:w="2880" w:type="dxa"/>
            <w:tcBorders>
              <w:top w:val="single" w:sz="12" w:space="0" w:color="auto"/>
            </w:tcBorders>
            <w:vAlign w:val="center"/>
          </w:tcPr>
          <w:p w:rsidR="00085E20" w:rsidRPr="00DE4E75" w:rsidRDefault="00095DA1" w:rsidP="00981949">
            <w:pPr>
              <w:ind w:righ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AE228D">
              <w:rPr>
                <w:rFonts w:ascii="Times New Roman" w:hAnsi="Times New Roman"/>
                <w:sz w:val="24"/>
                <w:szCs w:val="24"/>
              </w:rPr>
              <w:t>0</w:t>
            </w:r>
            <w:r w:rsidR="00085E20" w:rsidRPr="00DE4E75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AE228D" w:rsidRPr="00DE4E75" w:rsidTr="00170960">
        <w:trPr>
          <w:trHeight w:val="299"/>
        </w:trPr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:rsidR="00AE228D" w:rsidRPr="00DE4E75" w:rsidRDefault="00AE228D" w:rsidP="00170960">
            <w:pPr>
              <w:ind w:right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Quiz 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AE228D" w:rsidRPr="00DE4E75" w:rsidRDefault="00AE228D" w:rsidP="00170960">
            <w:pPr>
              <w:ind w:righ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8/19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228D" w:rsidRPr="00DE4E75" w:rsidRDefault="00095DA1" w:rsidP="00170960">
            <w:pPr>
              <w:ind w:righ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AE228D" w:rsidRPr="00DE4E75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085E20" w:rsidRPr="00DE4E75" w:rsidTr="00C71E2F">
        <w:trPr>
          <w:trHeight w:val="299"/>
        </w:trPr>
        <w:tc>
          <w:tcPr>
            <w:tcW w:w="5130" w:type="dxa"/>
            <w:tcBorders>
              <w:top w:val="single" w:sz="4" w:space="0" w:color="auto"/>
            </w:tcBorders>
          </w:tcPr>
          <w:p w:rsidR="00085E20" w:rsidRPr="00DE4E75" w:rsidRDefault="00376FF9" w:rsidP="00C71E2F">
            <w:pPr>
              <w:ind w:right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HW</w:t>
            </w:r>
            <w:r w:rsidR="00085E20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085E20" w:rsidRPr="00DE4E75" w:rsidRDefault="00095DA1" w:rsidP="00C71E2F">
            <w:pPr>
              <w:ind w:righ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8/20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:rsidR="00085E20" w:rsidRPr="00DE4E75" w:rsidRDefault="00095DA1" w:rsidP="00981949">
            <w:pPr>
              <w:ind w:righ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AE228D">
              <w:rPr>
                <w:rFonts w:ascii="Times New Roman" w:hAnsi="Times New Roman"/>
                <w:sz w:val="24"/>
                <w:szCs w:val="24"/>
              </w:rPr>
              <w:t>5</w:t>
            </w:r>
            <w:r w:rsidR="00085E20" w:rsidRPr="00DE4E75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095DA1" w:rsidRPr="00DE4E75" w:rsidTr="00C71E2F">
        <w:trPr>
          <w:trHeight w:val="299"/>
        </w:trPr>
        <w:tc>
          <w:tcPr>
            <w:tcW w:w="5130" w:type="dxa"/>
            <w:tcBorders>
              <w:top w:val="single" w:sz="4" w:space="0" w:color="auto"/>
            </w:tcBorders>
          </w:tcPr>
          <w:p w:rsidR="00095DA1" w:rsidRPr="00DE4E75" w:rsidRDefault="00095DA1" w:rsidP="00095DA1">
            <w:pPr>
              <w:ind w:right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HW 3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095DA1" w:rsidRPr="00DE4E75" w:rsidRDefault="00095DA1" w:rsidP="00095DA1">
            <w:pPr>
              <w:ind w:righ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8/27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:rsidR="00095DA1" w:rsidRPr="00DE4E75" w:rsidRDefault="00095DA1" w:rsidP="00095DA1">
            <w:pPr>
              <w:ind w:righ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Pr="00DE4E75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095DA1" w:rsidRPr="00DE4E75" w:rsidTr="00C71E2F">
        <w:trPr>
          <w:trHeight w:val="299"/>
        </w:trPr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:rsidR="00095DA1" w:rsidRPr="00DE4E75" w:rsidRDefault="00095DA1" w:rsidP="00095DA1">
            <w:pPr>
              <w:ind w:right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Quiz 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95DA1" w:rsidRPr="00DE4E75" w:rsidRDefault="00095DA1" w:rsidP="00095DA1">
            <w:pPr>
              <w:ind w:righ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9/4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5DA1" w:rsidRPr="00DE4E75" w:rsidRDefault="00095DA1" w:rsidP="00095DA1">
            <w:pPr>
              <w:ind w:righ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Pr="00DE4E75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095DA1" w:rsidRPr="00DE4E75" w:rsidTr="00C71E2F">
        <w:trPr>
          <w:trHeight w:val="299"/>
        </w:trPr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:rsidR="00095DA1" w:rsidRPr="00DE4E75" w:rsidRDefault="00095DA1" w:rsidP="00095DA1">
            <w:pPr>
              <w:ind w:right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HW 4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95DA1" w:rsidRPr="00DE4E75" w:rsidRDefault="00095DA1" w:rsidP="00095DA1">
            <w:pPr>
              <w:ind w:righ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9/5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5DA1" w:rsidRPr="00DE4E75" w:rsidRDefault="00095DA1" w:rsidP="00095DA1">
            <w:pPr>
              <w:ind w:righ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Pr="00DE4E75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095DA1" w:rsidRPr="00DE4E75" w:rsidTr="00C71E2F">
        <w:trPr>
          <w:trHeight w:val="299"/>
        </w:trPr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:rsidR="00095DA1" w:rsidRPr="00DE4E75" w:rsidRDefault="00095DA1" w:rsidP="00095DA1">
            <w:pPr>
              <w:ind w:right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HW 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95DA1" w:rsidRPr="00DE4E75" w:rsidRDefault="00095DA1" w:rsidP="00095DA1">
            <w:pPr>
              <w:ind w:righ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9/13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5DA1" w:rsidRPr="00DE4E75" w:rsidRDefault="00095DA1" w:rsidP="00095DA1">
            <w:pPr>
              <w:ind w:righ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Pr="00DE4E75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</w:tbl>
    <w:p w:rsidR="00CB60A0" w:rsidRPr="003353B5" w:rsidRDefault="00CB60A0" w:rsidP="0014354D">
      <w:pPr>
        <w:pStyle w:val="Default"/>
        <w:rPr>
          <w:sz w:val="12"/>
          <w:szCs w:val="12"/>
        </w:rPr>
      </w:pPr>
    </w:p>
    <w:p w:rsidR="00C53779" w:rsidRPr="00DE4E75" w:rsidRDefault="00C53779" w:rsidP="0014354D">
      <w:pPr>
        <w:pStyle w:val="Default"/>
      </w:pPr>
    </w:p>
    <w:p w:rsidR="00A36C8F" w:rsidRDefault="00A36C8F" w:rsidP="0014354D">
      <w:pPr>
        <w:pStyle w:val="Default"/>
        <w:rPr>
          <w:b/>
        </w:rPr>
      </w:pPr>
      <w:r w:rsidRPr="00C71E2F">
        <w:rPr>
          <w:b/>
        </w:rPr>
        <w:t>Prerequisites and Expectations</w:t>
      </w:r>
    </w:p>
    <w:p w:rsidR="00A051A2" w:rsidRPr="00C71E2F" w:rsidRDefault="00A051A2" w:rsidP="0014354D">
      <w:pPr>
        <w:pStyle w:val="Default"/>
        <w:rPr>
          <w:b/>
        </w:rPr>
      </w:pPr>
    </w:p>
    <w:p w:rsidR="007C36F9" w:rsidRPr="00DE4E75" w:rsidRDefault="00810CBA" w:rsidP="0009098D">
      <w:pPr>
        <w:pStyle w:val="Default"/>
        <w:numPr>
          <w:ilvl w:val="0"/>
          <w:numId w:val="3"/>
        </w:numPr>
        <w:ind w:left="360"/>
      </w:pPr>
      <w:r w:rsidRPr="00C71E2F">
        <w:rPr>
          <w:i/>
        </w:rPr>
        <w:t>Math</w:t>
      </w:r>
      <w:r w:rsidRPr="00DE4E75">
        <w:t xml:space="preserve">: </w:t>
      </w:r>
      <w:r w:rsidR="007C36F9" w:rsidRPr="00DE4E75">
        <w:t>Students must be comfortable with high school algebra II</w:t>
      </w:r>
      <w:r w:rsidRPr="00DE4E75">
        <w:t xml:space="preserve"> topics, especially functions, linear equations, matrices and graphs</w:t>
      </w:r>
      <w:r w:rsidR="007C36F9" w:rsidRPr="00DE4E75">
        <w:t xml:space="preserve">. </w:t>
      </w:r>
      <w:r w:rsidR="004C35B0">
        <w:t>Training in m</w:t>
      </w:r>
      <w:r w:rsidR="007C36F9" w:rsidRPr="00DE4E75">
        <w:t xml:space="preserve">ore advanced mathematical </w:t>
      </w:r>
      <w:r w:rsidR="004C35B0">
        <w:t>topics</w:t>
      </w:r>
      <w:r w:rsidR="007C36F9" w:rsidRPr="00DE4E75">
        <w:t xml:space="preserve"> </w:t>
      </w:r>
      <w:r w:rsidR="004C35B0">
        <w:t>such as</w:t>
      </w:r>
      <w:r w:rsidR="007C36F9" w:rsidRPr="00DE4E75">
        <w:t xml:space="preserve"> calculus and statistics is helpful but not required.</w:t>
      </w:r>
    </w:p>
    <w:p w:rsidR="003E233F" w:rsidRPr="00DE4E75" w:rsidRDefault="003E233F" w:rsidP="0009098D">
      <w:pPr>
        <w:pStyle w:val="Default"/>
        <w:ind w:left="360"/>
      </w:pPr>
    </w:p>
    <w:p w:rsidR="003E233F" w:rsidRDefault="00810CBA" w:rsidP="0009098D">
      <w:pPr>
        <w:pStyle w:val="Default"/>
        <w:numPr>
          <w:ilvl w:val="0"/>
          <w:numId w:val="3"/>
        </w:numPr>
        <w:ind w:left="360"/>
      </w:pPr>
      <w:r w:rsidRPr="00C71E2F">
        <w:rPr>
          <w:i/>
        </w:rPr>
        <w:t>Writing</w:t>
      </w:r>
      <w:r w:rsidRPr="00DE4E75">
        <w:t xml:space="preserve">: A significant portion of the class will focus on effectively communicating the results of data analysis through written prose. Students should be comfortable with </w:t>
      </w:r>
      <w:r w:rsidR="00686B23">
        <w:t>putting together assignments</w:t>
      </w:r>
      <w:r w:rsidRPr="00DE4E75">
        <w:t xml:space="preserve"> of </w:t>
      </w:r>
      <w:r w:rsidR="00DC1EE8">
        <w:t>8-10</w:t>
      </w:r>
      <w:r w:rsidRPr="00DE4E75">
        <w:t xml:space="preserve"> pages in length.</w:t>
      </w:r>
      <w:r w:rsidR="00413C5C">
        <w:t xml:space="preserve"> </w:t>
      </w:r>
    </w:p>
    <w:p w:rsidR="006D427D" w:rsidRDefault="006D427D" w:rsidP="006D427D">
      <w:pPr>
        <w:pStyle w:val="Default"/>
        <w:ind w:left="360"/>
      </w:pPr>
    </w:p>
    <w:p w:rsidR="002576D9" w:rsidRPr="00DE4E75" w:rsidRDefault="006D427D" w:rsidP="00C53779">
      <w:pPr>
        <w:pStyle w:val="Default"/>
        <w:numPr>
          <w:ilvl w:val="0"/>
          <w:numId w:val="3"/>
        </w:numPr>
        <w:ind w:left="360"/>
      </w:pPr>
      <w:r w:rsidRPr="006D427D">
        <w:rPr>
          <w:i/>
        </w:rPr>
        <w:t>Computers</w:t>
      </w:r>
      <w:r>
        <w:t xml:space="preserve">: </w:t>
      </w:r>
      <w:r w:rsidR="00C91CA9">
        <w:t xml:space="preserve">A computer is necessary for most things we do </w:t>
      </w:r>
      <w:r w:rsidR="001213AF">
        <w:t>in this class</w:t>
      </w:r>
      <w:r w:rsidR="00B31337">
        <w:t>,</w:t>
      </w:r>
      <w:r>
        <w:t xml:space="preserve"> </w:t>
      </w:r>
      <w:r w:rsidR="00C91CA9">
        <w:t>except</w:t>
      </w:r>
      <w:r>
        <w:t xml:space="preserve"> the </w:t>
      </w:r>
      <w:r w:rsidR="00095DA1">
        <w:t>quizzes</w:t>
      </w:r>
      <w:r>
        <w:t xml:space="preserve">. </w:t>
      </w:r>
      <w:r w:rsidR="00C91CA9">
        <w:t>S</w:t>
      </w:r>
      <w:r w:rsidR="00095DA1">
        <w:t xml:space="preserve">tudents are advised to bring a laptop to class to follow along with the lecture notes. </w:t>
      </w:r>
      <w:r w:rsidR="001213AF">
        <w:t>If needed, l</w:t>
      </w:r>
      <w:r w:rsidR="00095DA1">
        <w:t>aptops can be borrowed from CLICC [</w:t>
      </w:r>
      <w:hyperlink r:id="rId9" w:history="1">
        <w:r w:rsidR="00095DA1">
          <w:rPr>
            <w:rStyle w:val="Hyperlink"/>
          </w:rPr>
          <w:t>http://www.clicc.ucla.edu/tiki-index.php</w:t>
        </w:r>
      </w:hyperlink>
      <w:r w:rsidR="00095DA1">
        <w:t>]</w:t>
      </w:r>
      <w:r w:rsidR="001213AF">
        <w:t>.</w:t>
      </w:r>
    </w:p>
    <w:p w:rsidR="006D427D" w:rsidRPr="006D427D" w:rsidRDefault="00810CBA" w:rsidP="009C0C3E">
      <w:pPr>
        <w:pStyle w:val="Default"/>
        <w:numPr>
          <w:ilvl w:val="0"/>
          <w:numId w:val="3"/>
        </w:numPr>
        <w:ind w:left="360"/>
      </w:pPr>
      <w:r w:rsidRPr="00C71E2F">
        <w:rPr>
          <w:i/>
        </w:rPr>
        <w:lastRenderedPageBreak/>
        <w:t>Software</w:t>
      </w:r>
      <w:r w:rsidRPr="00DE4E75">
        <w:t xml:space="preserve">: </w:t>
      </w:r>
      <w:r w:rsidR="003E233F" w:rsidRPr="00DE4E75">
        <w:t>All statistical analyses will be conducted using the statistical package</w:t>
      </w:r>
      <w:r w:rsidR="00FD7B3E" w:rsidRPr="00DE4E75">
        <w:t xml:space="preserve"> R,</w:t>
      </w:r>
      <w:r w:rsidR="006B1044" w:rsidRPr="00DE4E75">
        <w:t xml:space="preserve"> in conjunction with the </w:t>
      </w:r>
      <w:proofErr w:type="spellStart"/>
      <w:r w:rsidR="006B1044" w:rsidRPr="00DE4E75">
        <w:t>R</w:t>
      </w:r>
      <w:r w:rsidR="00FD7B3E" w:rsidRPr="00DE4E75">
        <w:t>Studio</w:t>
      </w:r>
      <w:proofErr w:type="spellEnd"/>
      <w:r w:rsidR="00FD7B3E" w:rsidRPr="00DE4E75">
        <w:t xml:space="preserve"> </w:t>
      </w:r>
      <w:r w:rsidR="006B1044" w:rsidRPr="00DE4E75">
        <w:t>integrated development environment</w:t>
      </w:r>
      <w:r w:rsidR="00FD7B3E" w:rsidRPr="00DE4E75">
        <w:t xml:space="preserve"> (</w:t>
      </w:r>
      <w:r w:rsidR="006B1044" w:rsidRPr="00DE4E75">
        <w:t>IDE</w:t>
      </w:r>
      <w:r w:rsidR="00FD7B3E" w:rsidRPr="00DE4E75">
        <w:t>)</w:t>
      </w:r>
      <w:r w:rsidR="003E233F" w:rsidRPr="00DE4E75">
        <w:t xml:space="preserve">. </w:t>
      </w:r>
      <w:r w:rsidR="00FD7B3E" w:rsidRPr="00DE4E75">
        <w:t xml:space="preserve">While the learning curve for R is steeper than for packages such as </w:t>
      </w:r>
      <w:proofErr w:type="spellStart"/>
      <w:r w:rsidR="00FD7B3E" w:rsidRPr="00DE4E75">
        <w:t>Stata</w:t>
      </w:r>
      <w:proofErr w:type="spellEnd"/>
      <w:r w:rsidR="00FD7B3E" w:rsidRPr="00DE4E75">
        <w:t xml:space="preserve"> or SPSS, it has myriad benefits </w:t>
      </w:r>
      <w:r w:rsidR="005B6CF8">
        <w:t>that make it worthwhile</w:t>
      </w:r>
      <w:r w:rsidR="002923C2">
        <w:t>:</w:t>
      </w:r>
      <w:r w:rsidR="00FD7B3E" w:rsidRPr="00DE4E75">
        <w:t xml:space="preserve"> it</w:t>
      </w:r>
      <w:r w:rsidR="007B4E38">
        <w:t xml:space="preserve"> i</w:t>
      </w:r>
      <w:r w:rsidR="00FD7B3E" w:rsidRPr="00DE4E75">
        <w:t xml:space="preserve">s transparent, has a growing user base, and best of all, </w:t>
      </w:r>
      <w:proofErr w:type="gramStart"/>
      <w:r w:rsidR="002923C2">
        <w:t>is</w:t>
      </w:r>
      <w:proofErr w:type="gramEnd"/>
      <w:r w:rsidR="002923C2">
        <w:t xml:space="preserve"> </w:t>
      </w:r>
      <w:r w:rsidR="00FD7B3E" w:rsidRPr="00DE4E75">
        <w:t xml:space="preserve">free. </w:t>
      </w:r>
      <w:r w:rsidR="002D303D" w:rsidRPr="00DE4E75">
        <w:t>S</w:t>
      </w:r>
      <w:r w:rsidR="00FD7B3E" w:rsidRPr="00DE4E75">
        <w:t>tudents will be provided with sample code for all methods we cover</w:t>
      </w:r>
      <w:r w:rsidR="00C53779">
        <w:t>.</w:t>
      </w:r>
    </w:p>
    <w:p w:rsidR="00A36C8F" w:rsidRDefault="00A36C8F" w:rsidP="0014354D">
      <w:pPr>
        <w:pStyle w:val="Default"/>
      </w:pPr>
    </w:p>
    <w:p w:rsidR="00C53779" w:rsidRPr="00DE4E75" w:rsidRDefault="00C53779" w:rsidP="0014354D">
      <w:pPr>
        <w:pStyle w:val="Default"/>
      </w:pPr>
    </w:p>
    <w:p w:rsidR="007C36F9" w:rsidRDefault="007C36F9" w:rsidP="0014354D">
      <w:pPr>
        <w:pStyle w:val="Default"/>
        <w:rPr>
          <w:b/>
        </w:rPr>
      </w:pPr>
      <w:r w:rsidRPr="00C71E2F">
        <w:rPr>
          <w:b/>
        </w:rPr>
        <w:t>Suggested Texts</w:t>
      </w:r>
      <w:r w:rsidR="00E32055" w:rsidRPr="00C71E2F">
        <w:rPr>
          <w:b/>
        </w:rPr>
        <w:t xml:space="preserve"> and</w:t>
      </w:r>
      <w:r w:rsidR="002D303D" w:rsidRPr="00C71E2F">
        <w:rPr>
          <w:b/>
        </w:rPr>
        <w:t xml:space="preserve"> Resources</w:t>
      </w:r>
    </w:p>
    <w:p w:rsidR="00A051A2" w:rsidRPr="00C71E2F" w:rsidRDefault="00A051A2" w:rsidP="0014354D">
      <w:pPr>
        <w:pStyle w:val="Default"/>
        <w:rPr>
          <w:b/>
        </w:rPr>
      </w:pPr>
    </w:p>
    <w:p w:rsidR="00A36C8F" w:rsidRDefault="007C36F9" w:rsidP="0009098D">
      <w:pPr>
        <w:pStyle w:val="Default"/>
        <w:numPr>
          <w:ilvl w:val="0"/>
          <w:numId w:val="3"/>
        </w:numPr>
        <w:ind w:left="360"/>
        <w:rPr>
          <w:color w:val="auto"/>
        </w:rPr>
      </w:pPr>
      <w:r w:rsidRPr="001203BE">
        <w:rPr>
          <w:color w:val="auto"/>
        </w:rPr>
        <w:t>Moore</w:t>
      </w:r>
      <w:r w:rsidR="00A051A2">
        <w:rPr>
          <w:color w:val="auto"/>
        </w:rPr>
        <w:t xml:space="preserve"> D. S.,</w:t>
      </w:r>
      <w:r w:rsidRPr="001203BE">
        <w:rPr>
          <w:color w:val="auto"/>
        </w:rPr>
        <w:t xml:space="preserve"> McCabe</w:t>
      </w:r>
      <w:r w:rsidR="00A051A2">
        <w:rPr>
          <w:color w:val="auto"/>
        </w:rPr>
        <w:t xml:space="preserve"> G. P</w:t>
      </w:r>
      <w:r w:rsidRPr="001203BE">
        <w:rPr>
          <w:color w:val="auto"/>
        </w:rPr>
        <w:t xml:space="preserve">. 2006. </w:t>
      </w:r>
      <w:r w:rsidRPr="00E52A08">
        <w:rPr>
          <w:i/>
          <w:color w:val="auto"/>
        </w:rPr>
        <w:t>Introduction to the Practice of Statistics,</w:t>
      </w:r>
      <w:r w:rsidR="001203BE" w:rsidRPr="00E52A08">
        <w:rPr>
          <w:i/>
          <w:color w:val="auto"/>
        </w:rPr>
        <w:t xml:space="preserve"> </w:t>
      </w:r>
      <w:r w:rsidRPr="00E52A08">
        <w:rPr>
          <w:i/>
          <w:color w:val="auto"/>
        </w:rPr>
        <w:t xml:space="preserve">5th </w:t>
      </w:r>
      <w:proofErr w:type="gramStart"/>
      <w:r w:rsidRPr="00E52A08">
        <w:rPr>
          <w:i/>
          <w:color w:val="auto"/>
        </w:rPr>
        <w:t>ed</w:t>
      </w:r>
      <w:proofErr w:type="gramEnd"/>
      <w:r w:rsidRPr="001203BE">
        <w:rPr>
          <w:color w:val="auto"/>
        </w:rPr>
        <w:t>.</w:t>
      </w:r>
    </w:p>
    <w:p w:rsidR="00E04414" w:rsidRPr="00E04414" w:rsidRDefault="00E04414" w:rsidP="00E04414">
      <w:pPr>
        <w:pStyle w:val="Default"/>
        <w:ind w:left="360"/>
        <w:rPr>
          <w:color w:val="auto"/>
        </w:rPr>
      </w:pPr>
    </w:p>
    <w:p w:rsidR="00E04414" w:rsidRDefault="00E04414" w:rsidP="0009098D">
      <w:pPr>
        <w:pStyle w:val="Default"/>
        <w:numPr>
          <w:ilvl w:val="0"/>
          <w:numId w:val="3"/>
        </w:numPr>
        <w:ind w:left="360"/>
        <w:rPr>
          <w:color w:val="auto"/>
        </w:rPr>
      </w:pPr>
      <w:proofErr w:type="spellStart"/>
      <w:r>
        <w:t>Illowsky</w:t>
      </w:r>
      <w:proofErr w:type="spellEnd"/>
      <w:r>
        <w:t xml:space="preserve"> B., Dean S. </w:t>
      </w:r>
      <w:r w:rsidRPr="00E52A08">
        <w:rPr>
          <w:i/>
        </w:rPr>
        <w:t>Collaborative Statistics</w:t>
      </w:r>
      <w:r>
        <w:t xml:space="preserve"> &lt;</w:t>
      </w:r>
      <w:hyperlink r:id="rId10" w:history="1">
        <w:r>
          <w:rPr>
            <w:rStyle w:val="Hyperlink"/>
          </w:rPr>
          <w:t>http://cnx.org/content/col10522/latest</w:t>
        </w:r>
      </w:hyperlink>
      <w:r>
        <w:t>&gt;</w:t>
      </w:r>
    </w:p>
    <w:p w:rsidR="001203BE" w:rsidRPr="001203BE" w:rsidRDefault="001203BE" w:rsidP="0009098D">
      <w:pPr>
        <w:pStyle w:val="Default"/>
        <w:ind w:left="360"/>
        <w:rPr>
          <w:color w:val="auto"/>
        </w:rPr>
      </w:pPr>
    </w:p>
    <w:p w:rsidR="007C36F9" w:rsidRDefault="007C36F9" w:rsidP="0009098D">
      <w:pPr>
        <w:pStyle w:val="Default"/>
        <w:numPr>
          <w:ilvl w:val="0"/>
          <w:numId w:val="3"/>
        </w:numPr>
        <w:ind w:left="360"/>
        <w:rPr>
          <w:color w:val="auto"/>
        </w:rPr>
      </w:pPr>
      <w:r w:rsidRPr="00DE4E75">
        <w:rPr>
          <w:color w:val="auto"/>
        </w:rPr>
        <w:t>Miller</w:t>
      </w:r>
      <w:r w:rsidR="00A051A2">
        <w:rPr>
          <w:color w:val="auto"/>
        </w:rPr>
        <w:t xml:space="preserve"> J. E</w:t>
      </w:r>
      <w:r w:rsidRPr="00DE4E75">
        <w:rPr>
          <w:color w:val="auto"/>
        </w:rPr>
        <w:t>. 2004. The Chicago Guide to Writing about Numbers.</w:t>
      </w:r>
    </w:p>
    <w:p w:rsidR="001203BE" w:rsidRPr="00DE4E75" w:rsidRDefault="001203BE" w:rsidP="0009098D">
      <w:pPr>
        <w:pStyle w:val="Default"/>
        <w:ind w:left="360"/>
        <w:rPr>
          <w:color w:val="auto"/>
        </w:rPr>
      </w:pPr>
    </w:p>
    <w:p w:rsidR="002D303D" w:rsidRPr="00DE4E75" w:rsidRDefault="002D303D" w:rsidP="0009098D">
      <w:pPr>
        <w:pStyle w:val="Default"/>
        <w:numPr>
          <w:ilvl w:val="0"/>
          <w:numId w:val="3"/>
        </w:numPr>
        <w:ind w:left="360"/>
        <w:rPr>
          <w:color w:val="auto"/>
        </w:rPr>
      </w:pPr>
      <w:r w:rsidRPr="00DE4E75">
        <w:rPr>
          <w:color w:val="auto"/>
        </w:rPr>
        <w:t>UCLA ATS website &lt;</w:t>
      </w:r>
      <w:hyperlink r:id="rId11" w:history="1">
        <w:r w:rsidR="00287487">
          <w:rPr>
            <w:rStyle w:val="Hyperlink"/>
          </w:rPr>
          <w:t>http://www.ats.ucla.edu/stat/</w:t>
        </w:r>
      </w:hyperlink>
      <w:r w:rsidRPr="00DE4E75">
        <w:t xml:space="preserve">&gt; </w:t>
      </w:r>
    </w:p>
    <w:p w:rsidR="007C36F9" w:rsidRDefault="007C36F9" w:rsidP="007C36F9">
      <w:pPr>
        <w:pStyle w:val="Default"/>
      </w:pPr>
    </w:p>
    <w:p w:rsidR="00C53779" w:rsidRPr="00DE4E75" w:rsidRDefault="00C53779" w:rsidP="007C36F9">
      <w:pPr>
        <w:pStyle w:val="Default"/>
      </w:pPr>
    </w:p>
    <w:p w:rsidR="00C54E73" w:rsidRDefault="00E6713E" w:rsidP="00C54E73">
      <w:pPr>
        <w:pStyle w:val="Default"/>
        <w:rPr>
          <w:b/>
        </w:rPr>
      </w:pPr>
      <w:r>
        <w:rPr>
          <w:b/>
        </w:rPr>
        <w:t>Administrative</w:t>
      </w:r>
      <w:r w:rsidR="00A36C8F" w:rsidRPr="00C71E2F">
        <w:rPr>
          <w:b/>
        </w:rPr>
        <w:t xml:space="preserve"> </w:t>
      </w:r>
      <w:r>
        <w:rPr>
          <w:b/>
        </w:rPr>
        <w:t>D</w:t>
      </w:r>
      <w:r w:rsidR="00A36C8F" w:rsidRPr="00C71E2F">
        <w:rPr>
          <w:b/>
        </w:rPr>
        <w:t>etails</w:t>
      </w:r>
    </w:p>
    <w:p w:rsidR="005B6CF8" w:rsidRPr="00C71E2F" w:rsidRDefault="005B6CF8" w:rsidP="00C54E73">
      <w:pPr>
        <w:pStyle w:val="Default"/>
        <w:rPr>
          <w:b/>
        </w:rPr>
      </w:pPr>
    </w:p>
    <w:p w:rsidR="007B4E38" w:rsidRDefault="003A2A4C" w:rsidP="00D1658F">
      <w:pPr>
        <w:pStyle w:val="Default"/>
        <w:numPr>
          <w:ilvl w:val="0"/>
          <w:numId w:val="3"/>
        </w:numPr>
        <w:ind w:left="360"/>
      </w:pPr>
      <w:r w:rsidRPr="00793DD2">
        <w:rPr>
          <w:i/>
        </w:rPr>
        <w:t>Submitting</w:t>
      </w:r>
      <w:r w:rsidR="00ED1093" w:rsidRPr="00793DD2">
        <w:rPr>
          <w:i/>
        </w:rPr>
        <w:t xml:space="preserve"> </w:t>
      </w:r>
      <w:r w:rsidRPr="00793DD2">
        <w:rPr>
          <w:i/>
        </w:rPr>
        <w:t>assignments</w:t>
      </w:r>
      <w:r w:rsidR="00ED1093" w:rsidRPr="00DE4E75">
        <w:t xml:space="preserve">: </w:t>
      </w:r>
      <w:r w:rsidR="00575C1B">
        <w:t xml:space="preserve">We will be using the </w:t>
      </w:r>
      <w:proofErr w:type="spellStart"/>
      <w:r w:rsidR="00575C1B">
        <w:t>Turnitin</w:t>
      </w:r>
      <w:proofErr w:type="spellEnd"/>
      <w:r w:rsidR="00575C1B">
        <w:t xml:space="preserve"> system to submit, grade and review all assignments.</w:t>
      </w:r>
      <w:r w:rsidR="002576D9">
        <w:t xml:space="preserve"> </w:t>
      </w:r>
      <w:r w:rsidR="00575C1B">
        <w:t xml:space="preserve">When you log into </w:t>
      </w:r>
      <w:proofErr w:type="spellStart"/>
      <w:r w:rsidR="00575C1B">
        <w:t>MyUCLA</w:t>
      </w:r>
      <w:proofErr w:type="spellEnd"/>
      <w:r w:rsidR="00575C1B">
        <w:t>, there will be an option for “</w:t>
      </w:r>
      <w:proofErr w:type="spellStart"/>
      <w:r w:rsidR="00575C1B">
        <w:t>Turnitin</w:t>
      </w:r>
      <w:proofErr w:type="spellEnd"/>
      <w:r w:rsidR="00575C1B">
        <w:t xml:space="preserve"> - Student” in the navigation panel. Please follow the link, register and get acquainted with the system. </w:t>
      </w:r>
    </w:p>
    <w:p w:rsidR="007B4E38" w:rsidRDefault="007B4E38" w:rsidP="007B4E38">
      <w:pPr>
        <w:pStyle w:val="Default"/>
      </w:pPr>
    </w:p>
    <w:p w:rsidR="007B4E38" w:rsidRPr="00DE4E75" w:rsidRDefault="007B4E38" w:rsidP="007B4E38">
      <w:pPr>
        <w:pStyle w:val="Default"/>
        <w:numPr>
          <w:ilvl w:val="0"/>
          <w:numId w:val="2"/>
        </w:numPr>
        <w:ind w:left="360"/>
      </w:pPr>
      <w:r w:rsidRPr="00793DD2">
        <w:rPr>
          <w:i/>
        </w:rPr>
        <w:t>Late assignments</w:t>
      </w:r>
      <w:r>
        <w:t xml:space="preserve">: </w:t>
      </w:r>
      <w:r w:rsidR="00793DD2">
        <w:t>Late</w:t>
      </w:r>
      <w:r>
        <w:t xml:space="preserve"> assignments will lose 10% of their raw value for each day </w:t>
      </w:r>
      <w:r w:rsidR="00793DD2">
        <w:t>beyond the due date. The cut-off for a particular assignment is 11:59 PM on the day it is due.</w:t>
      </w:r>
    </w:p>
    <w:p w:rsidR="007B4E38" w:rsidRPr="00DE4E75" w:rsidRDefault="007B4E38" w:rsidP="007B4E38">
      <w:pPr>
        <w:pStyle w:val="Default"/>
      </w:pPr>
    </w:p>
    <w:p w:rsidR="00ED1093" w:rsidRDefault="00ED1093" w:rsidP="0009098D">
      <w:pPr>
        <w:pStyle w:val="Default"/>
        <w:numPr>
          <w:ilvl w:val="0"/>
          <w:numId w:val="2"/>
        </w:numPr>
        <w:ind w:left="360"/>
      </w:pPr>
      <w:r w:rsidRPr="00793DD2">
        <w:rPr>
          <w:i/>
        </w:rPr>
        <w:t>Absence</w:t>
      </w:r>
      <w:r w:rsidR="007B4E38">
        <w:t>: As this is a lecture course, attendance is not mandatory. However, it is highly recommended that you come to class, else you will almost certainly fall behind.</w:t>
      </w:r>
    </w:p>
    <w:p w:rsidR="007B4E38" w:rsidRDefault="007B4E38" w:rsidP="007B4E38">
      <w:pPr>
        <w:pStyle w:val="Default"/>
        <w:ind w:left="360"/>
      </w:pPr>
    </w:p>
    <w:p w:rsidR="00C53779" w:rsidRPr="00DE4E75" w:rsidRDefault="00C53779" w:rsidP="007B4E38">
      <w:pPr>
        <w:pStyle w:val="Default"/>
        <w:ind w:left="360"/>
      </w:pPr>
    </w:p>
    <w:p w:rsidR="00E32272" w:rsidRDefault="00E32272" w:rsidP="00E32272">
      <w:pPr>
        <w:pStyle w:val="Default"/>
        <w:rPr>
          <w:b/>
        </w:rPr>
      </w:pPr>
      <w:r w:rsidRPr="00C71E2F">
        <w:rPr>
          <w:b/>
        </w:rPr>
        <w:t>Schedule</w:t>
      </w:r>
    </w:p>
    <w:p w:rsidR="005B6CF8" w:rsidRPr="00C71E2F" w:rsidRDefault="005B6CF8" w:rsidP="00E32272">
      <w:pPr>
        <w:pStyle w:val="Default"/>
        <w:rPr>
          <w:b/>
        </w:rPr>
      </w:pPr>
    </w:p>
    <w:tbl>
      <w:tblPr>
        <w:tblW w:w="9540" w:type="dxa"/>
        <w:tblBorders>
          <w:top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8370"/>
      </w:tblGrid>
      <w:tr w:rsidR="00AA6E1A" w:rsidRPr="00AA6E1A" w:rsidTr="003353B5">
        <w:trPr>
          <w:trHeight w:val="315"/>
        </w:trPr>
        <w:tc>
          <w:tcPr>
            <w:tcW w:w="1170" w:type="dxa"/>
            <w:shd w:val="clear" w:color="auto" w:fill="auto"/>
            <w:noWrap/>
            <w:hideMark/>
          </w:tcPr>
          <w:p w:rsidR="003353B5" w:rsidRDefault="003353B5" w:rsidP="00E44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A6E1A" w:rsidRPr="00AA6E1A" w:rsidRDefault="00AA6E1A" w:rsidP="00E44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6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8/5</w:t>
            </w:r>
          </w:p>
        </w:tc>
        <w:tc>
          <w:tcPr>
            <w:tcW w:w="8370" w:type="dxa"/>
            <w:shd w:val="clear" w:color="auto" w:fill="auto"/>
            <w:noWrap/>
            <w:hideMark/>
          </w:tcPr>
          <w:p w:rsidR="003353B5" w:rsidRDefault="003353B5" w:rsidP="00E447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A6E1A" w:rsidRPr="00C53779" w:rsidRDefault="00AA6E1A" w:rsidP="00E447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537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Univariate</w:t>
            </w:r>
            <w:proofErr w:type="spellEnd"/>
            <w:r w:rsidRPr="00C537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</w:t>
            </w:r>
          </w:p>
          <w:p w:rsidR="00216744" w:rsidRPr="00AA6E1A" w:rsidRDefault="00AA6E1A" w:rsidP="00E44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6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 to R</w:t>
            </w:r>
            <w:r w:rsidR="00102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A6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Loading and viewing data</w:t>
            </w:r>
            <w:r w:rsidR="00102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7A1D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population versus sample, </w:t>
            </w:r>
            <w:r w:rsidRPr="00AA6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Measures of central tendency</w:t>
            </w:r>
            <w:r w:rsidR="00102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216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Histograms</w:t>
            </w:r>
          </w:p>
          <w:p w:rsidR="005D57A6" w:rsidRPr="00AA6E1A" w:rsidRDefault="005D57A6" w:rsidP="00125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A6E1A" w:rsidRPr="00AA6E1A" w:rsidTr="003353B5">
        <w:trPr>
          <w:trHeight w:val="315"/>
        </w:trPr>
        <w:tc>
          <w:tcPr>
            <w:tcW w:w="1170" w:type="dxa"/>
            <w:shd w:val="clear" w:color="auto" w:fill="auto"/>
            <w:noWrap/>
            <w:hideMark/>
          </w:tcPr>
          <w:p w:rsidR="003353B5" w:rsidRDefault="003353B5" w:rsidP="00E44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A6E1A" w:rsidRPr="00AA6E1A" w:rsidRDefault="00AA6E1A" w:rsidP="00E44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6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8/7</w:t>
            </w:r>
          </w:p>
        </w:tc>
        <w:tc>
          <w:tcPr>
            <w:tcW w:w="8370" w:type="dxa"/>
            <w:shd w:val="clear" w:color="auto" w:fill="auto"/>
            <w:noWrap/>
            <w:hideMark/>
          </w:tcPr>
          <w:p w:rsidR="003353B5" w:rsidRDefault="003353B5" w:rsidP="00E447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A6E1A" w:rsidRPr="00C53779" w:rsidRDefault="00AA6E1A" w:rsidP="00E447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537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Univariate</w:t>
            </w:r>
            <w:proofErr w:type="spellEnd"/>
            <w:r w:rsidRPr="00C537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II</w:t>
            </w:r>
          </w:p>
          <w:p w:rsidR="001D4776" w:rsidRDefault="00125C14" w:rsidP="00216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Measures of spread</w:t>
            </w:r>
            <w:r w:rsidR="00102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216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Boxplots</w:t>
            </w:r>
            <w:r w:rsidR="00102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B94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Subsetting</w:t>
            </w:r>
            <w:proofErr w:type="spellEnd"/>
            <w:r w:rsidR="00B94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</w:t>
            </w:r>
          </w:p>
          <w:p w:rsidR="005D57A6" w:rsidRPr="00AA6E1A" w:rsidRDefault="005D57A6" w:rsidP="001D4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A6E1A" w:rsidRPr="00AA6E1A" w:rsidTr="003353B5">
        <w:trPr>
          <w:trHeight w:val="315"/>
        </w:trPr>
        <w:tc>
          <w:tcPr>
            <w:tcW w:w="1170" w:type="dxa"/>
            <w:shd w:val="clear" w:color="auto" w:fill="auto"/>
            <w:noWrap/>
            <w:hideMark/>
          </w:tcPr>
          <w:p w:rsidR="003353B5" w:rsidRDefault="003353B5" w:rsidP="00E44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A6E1A" w:rsidRPr="00AA6E1A" w:rsidRDefault="00AA6E1A" w:rsidP="00E44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6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8/12</w:t>
            </w:r>
          </w:p>
        </w:tc>
        <w:tc>
          <w:tcPr>
            <w:tcW w:w="8370" w:type="dxa"/>
            <w:shd w:val="clear" w:color="auto" w:fill="auto"/>
            <w:noWrap/>
          </w:tcPr>
          <w:p w:rsidR="003353B5" w:rsidRDefault="003353B5" w:rsidP="00E447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A6E1A" w:rsidRPr="00C53779" w:rsidRDefault="00AA6E1A" w:rsidP="00E447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537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Univariate</w:t>
            </w:r>
            <w:proofErr w:type="spellEnd"/>
            <w:r w:rsidRPr="00C537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III</w:t>
            </w:r>
          </w:p>
          <w:p w:rsidR="005D57A6" w:rsidRDefault="001D4776" w:rsidP="00E44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6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Normal distribution</w:t>
            </w:r>
            <w:r w:rsidR="00392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</w:t>
            </w:r>
            <w:r w:rsidR="00102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392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Density</w:t>
            </w:r>
            <w:r w:rsidR="00102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2450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Density plot</w:t>
            </w:r>
            <w:r w:rsidR="00C71E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  <w:p w:rsidR="00B943BA" w:rsidRPr="00AA6E1A" w:rsidRDefault="00B943BA" w:rsidP="00E44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82213" w:rsidRPr="00AA6E1A" w:rsidTr="003353B5">
        <w:trPr>
          <w:trHeight w:val="315"/>
        </w:trPr>
        <w:tc>
          <w:tcPr>
            <w:tcW w:w="1170" w:type="dxa"/>
            <w:shd w:val="clear" w:color="auto" w:fill="auto"/>
            <w:noWrap/>
          </w:tcPr>
          <w:p w:rsidR="00182213" w:rsidRDefault="00182213" w:rsidP="00E44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70" w:type="dxa"/>
            <w:shd w:val="clear" w:color="auto" w:fill="auto"/>
            <w:noWrap/>
          </w:tcPr>
          <w:p w:rsidR="00182213" w:rsidRDefault="00182213" w:rsidP="00E447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A6E1A" w:rsidRPr="00AA6E1A" w:rsidTr="003353B5">
        <w:trPr>
          <w:trHeight w:val="315"/>
        </w:trPr>
        <w:tc>
          <w:tcPr>
            <w:tcW w:w="1170" w:type="dxa"/>
            <w:shd w:val="clear" w:color="auto" w:fill="auto"/>
            <w:noWrap/>
            <w:hideMark/>
          </w:tcPr>
          <w:p w:rsidR="003353B5" w:rsidRDefault="003353B5" w:rsidP="00E44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A6E1A" w:rsidRPr="00AA6E1A" w:rsidRDefault="00AA6E1A" w:rsidP="00E44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6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8/14</w:t>
            </w:r>
          </w:p>
        </w:tc>
        <w:tc>
          <w:tcPr>
            <w:tcW w:w="8370" w:type="dxa"/>
            <w:shd w:val="clear" w:color="auto" w:fill="auto"/>
            <w:noWrap/>
          </w:tcPr>
          <w:p w:rsidR="003353B5" w:rsidRDefault="003353B5" w:rsidP="003929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92943" w:rsidRPr="00C53779" w:rsidRDefault="00392943" w:rsidP="003929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537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Univariate</w:t>
            </w:r>
            <w:proofErr w:type="spellEnd"/>
            <w:r w:rsidRPr="00C537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IV</w:t>
            </w:r>
          </w:p>
          <w:p w:rsidR="00392943" w:rsidRDefault="00392943" w:rsidP="00732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Normal distribution II</w:t>
            </w:r>
            <w:r w:rsidR="00102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CLT</w:t>
            </w:r>
            <w:r w:rsidR="00102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variables</w:t>
            </w:r>
            <w:r w:rsidR="00102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distribution</w:t>
            </w:r>
            <w:r w:rsidR="00102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Hypotheses &amp; difference of means</w:t>
            </w:r>
          </w:p>
          <w:p w:rsidR="00B943BA" w:rsidRPr="00AA6E1A" w:rsidRDefault="00B943BA" w:rsidP="00732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A6E1A" w:rsidRPr="00AA6E1A" w:rsidTr="00552B7F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315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353B5" w:rsidRDefault="003353B5" w:rsidP="00E44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A6E1A" w:rsidRPr="00AA6E1A" w:rsidRDefault="00AA6E1A" w:rsidP="00E44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6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8/19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353B5" w:rsidRDefault="003353B5" w:rsidP="00FD2D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D2D06" w:rsidRPr="00C53779" w:rsidRDefault="00FD2D06" w:rsidP="00FD2D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37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Quiz 1</w:t>
            </w:r>
          </w:p>
          <w:p w:rsidR="00FD2D06" w:rsidRDefault="00FD2D06" w:rsidP="00732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3262D" w:rsidRPr="00C53779" w:rsidRDefault="0073262D" w:rsidP="00732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37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Bivariate I</w:t>
            </w:r>
          </w:p>
          <w:p w:rsidR="001203BE" w:rsidRDefault="0073262D" w:rsidP="00E44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shapes (long versus wide)</w:t>
            </w:r>
            <w:r w:rsidR="00102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Transforming variables</w:t>
            </w:r>
            <w:r w:rsidR="00102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Contingency tables</w:t>
            </w:r>
            <w:r w:rsidR="00102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Scatterplots</w:t>
            </w:r>
          </w:p>
          <w:p w:rsidR="005D57A6" w:rsidRPr="00AA6E1A" w:rsidRDefault="005D57A6" w:rsidP="00FD2D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A6E1A" w:rsidRPr="00AA6E1A" w:rsidTr="00552B7F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315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353B5" w:rsidRDefault="003353B5" w:rsidP="00E44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A6E1A" w:rsidRPr="00AA6E1A" w:rsidRDefault="00AA6E1A" w:rsidP="00E44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6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8/21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353B5" w:rsidRDefault="003353B5" w:rsidP="009253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25354" w:rsidRPr="00C53779" w:rsidRDefault="00925354" w:rsidP="009253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37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Bivariate II</w:t>
            </w:r>
          </w:p>
          <w:p w:rsidR="0073262D" w:rsidRDefault="00D27094" w:rsidP="00732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 graphs</w:t>
            </w:r>
            <w:r w:rsidR="00102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732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Correlation &amp; covariance</w:t>
            </w:r>
          </w:p>
          <w:p w:rsidR="005D57A6" w:rsidRPr="00AA6E1A" w:rsidRDefault="005D57A6" w:rsidP="00120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A6E1A" w:rsidRPr="00AA6E1A" w:rsidTr="00552B7F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315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353B5" w:rsidRDefault="003353B5" w:rsidP="00E44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A6E1A" w:rsidRPr="00AA6E1A" w:rsidRDefault="00AA6E1A" w:rsidP="00E44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6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8/26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353B5" w:rsidRDefault="003353B5" w:rsidP="00BE74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A1D03" w:rsidRPr="00C53779" w:rsidRDefault="00887C0E" w:rsidP="00BE74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37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Linear Models</w:t>
            </w:r>
            <w:r w:rsidR="007A1D03" w:rsidRPr="00C537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</w:t>
            </w:r>
          </w:p>
          <w:p w:rsidR="007A1D03" w:rsidRDefault="007A1D03" w:rsidP="00BE7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Bivariate </w:t>
            </w:r>
            <w:r w:rsidR="00E751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regression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regression output</w:t>
            </w:r>
          </w:p>
          <w:p w:rsidR="005D57A6" w:rsidRPr="00AA6E1A" w:rsidRDefault="005D57A6" w:rsidP="00887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412A" w:rsidRPr="00AA6E1A" w:rsidTr="00552B7F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315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353B5" w:rsidRDefault="003353B5" w:rsidP="000F41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F412A" w:rsidRPr="00AA6E1A" w:rsidRDefault="000F412A" w:rsidP="000F41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6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8/28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353B5" w:rsidRDefault="003353B5" w:rsidP="00AA1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F412A" w:rsidRPr="00C53779" w:rsidRDefault="00AA190E" w:rsidP="00AA1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CLASS</w:t>
            </w:r>
          </w:p>
          <w:p w:rsidR="000F412A" w:rsidRPr="00AA6E1A" w:rsidRDefault="000F412A" w:rsidP="000F4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412A" w:rsidRPr="00AA6E1A" w:rsidTr="00552B7F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315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353B5" w:rsidRDefault="003353B5" w:rsidP="000F41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F412A" w:rsidRPr="00AA6E1A" w:rsidRDefault="00AA190E" w:rsidP="000F41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8/30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353B5" w:rsidRDefault="003353B5" w:rsidP="000F4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F412A" w:rsidRPr="00C53779" w:rsidRDefault="00AA190E" w:rsidP="000F4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Reschedule of 8/28 lecture</w:t>
            </w:r>
          </w:p>
          <w:p w:rsidR="00887C0E" w:rsidRDefault="00887C0E" w:rsidP="00887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87C0E" w:rsidRDefault="00C53779" w:rsidP="00887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Causality</w:t>
            </w:r>
          </w:p>
          <w:p w:rsidR="00887C0E" w:rsidRDefault="00C53779" w:rsidP="00887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Association versus causation</w:t>
            </w:r>
            <w:r w:rsidR="001469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887C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statistical control, bias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experiments</w:t>
            </w:r>
          </w:p>
          <w:p w:rsidR="000F412A" w:rsidRPr="00AA6E1A" w:rsidRDefault="000F412A" w:rsidP="001E1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412A" w:rsidRPr="00AA6E1A" w:rsidTr="00552B7F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315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353B5" w:rsidRDefault="003353B5" w:rsidP="000F41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F412A" w:rsidRPr="00AA6E1A" w:rsidRDefault="000F412A" w:rsidP="000F41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9/2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353B5" w:rsidRDefault="003353B5" w:rsidP="000F4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F412A" w:rsidRDefault="000F412A" w:rsidP="000F4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Labor Day – </w:t>
            </w:r>
            <w:r w:rsidR="00C53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reading assignment TBD</w:t>
            </w:r>
          </w:p>
          <w:p w:rsidR="000F412A" w:rsidRPr="00AA6E1A" w:rsidRDefault="000F412A" w:rsidP="000F4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412A" w:rsidRPr="00AA6E1A" w:rsidTr="00552B7F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315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353B5" w:rsidRDefault="003353B5" w:rsidP="000F41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F412A" w:rsidRPr="00AA6E1A" w:rsidRDefault="000F412A" w:rsidP="000F41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6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9/4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353B5" w:rsidRDefault="003353B5" w:rsidP="000F41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F412A" w:rsidRPr="00DB7BFF" w:rsidRDefault="000F412A" w:rsidP="000F41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7BF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Quiz 2</w:t>
            </w:r>
          </w:p>
          <w:p w:rsidR="00887C0E" w:rsidRDefault="00887C0E" w:rsidP="00887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87C0E" w:rsidRPr="00C53779" w:rsidRDefault="00887C0E" w:rsidP="00887C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37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Linear Models II</w:t>
            </w:r>
          </w:p>
          <w:p w:rsidR="00FD2D06" w:rsidRDefault="00EF71B3" w:rsidP="00887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  <w:r w:rsidR="00887C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ultivariate regression</w:t>
            </w:r>
            <w:r w:rsidR="00C53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prediction</w:t>
            </w:r>
          </w:p>
          <w:p w:rsidR="00C53779" w:rsidRPr="00AA6E1A" w:rsidRDefault="00C53779" w:rsidP="00887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412A" w:rsidRPr="00AA6E1A" w:rsidTr="00552B7F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315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353B5" w:rsidRDefault="003353B5" w:rsidP="000F41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F412A" w:rsidRPr="00AA6E1A" w:rsidRDefault="000F412A" w:rsidP="000F41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6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9/9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353B5" w:rsidRDefault="003353B5" w:rsidP="00887C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87C0E" w:rsidRPr="00C53779" w:rsidRDefault="00887C0E" w:rsidP="00887C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37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Linear Models III</w:t>
            </w:r>
          </w:p>
          <w:p w:rsidR="00887C0E" w:rsidRDefault="00887C0E" w:rsidP="00887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Dummy variables, factors, </w:t>
            </w:r>
            <w:r w:rsidR="005F5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interactions,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graphing thereof</w:t>
            </w:r>
          </w:p>
          <w:p w:rsidR="000F412A" w:rsidRPr="00AA6E1A" w:rsidRDefault="000F412A" w:rsidP="000F4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412A" w:rsidRPr="00AA6E1A" w:rsidTr="003353B5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899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53B5" w:rsidRDefault="003353B5" w:rsidP="000F41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F412A" w:rsidRPr="00AA6E1A" w:rsidRDefault="000F412A" w:rsidP="000F41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6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9/11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3353B5" w:rsidRDefault="003353B5" w:rsidP="000F41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F412A" w:rsidRPr="00C53779" w:rsidRDefault="00887C0E" w:rsidP="000F41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37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Intro to GLM</w:t>
            </w:r>
          </w:p>
          <w:p w:rsidR="00FD2D06" w:rsidRPr="00AA6E1A" w:rsidRDefault="00763048" w:rsidP="00335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Typical use scenarios,</w:t>
            </w:r>
            <w:r w:rsidR="00A40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comparison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LMs, examples </w:t>
            </w:r>
          </w:p>
        </w:tc>
      </w:tr>
    </w:tbl>
    <w:p w:rsidR="00ED1093" w:rsidRPr="00DE4E75" w:rsidRDefault="00ED1093" w:rsidP="003353B5">
      <w:pPr>
        <w:pStyle w:val="Default"/>
      </w:pPr>
    </w:p>
    <w:sectPr w:rsidR="00ED1093" w:rsidRPr="00DE4E75" w:rsidSect="00182213">
      <w:headerReference w:type="default" r:id="rId12"/>
      <w:footerReference w:type="default" r:id="rId13"/>
      <w:footerReference w:type="first" r:id="rId14"/>
      <w:pgSz w:w="12240" w:h="15840"/>
      <w:pgMar w:top="1440" w:right="1440" w:bottom="13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186" w:rsidRDefault="00C24186" w:rsidP="00CB60A0">
      <w:pPr>
        <w:spacing w:after="0" w:line="240" w:lineRule="auto"/>
      </w:pPr>
      <w:r>
        <w:separator/>
      </w:r>
    </w:p>
  </w:endnote>
  <w:endnote w:type="continuationSeparator" w:id="0">
    <w:p w:rsidR="00C24186" w:rsidRDefault="00C24186" w:rsidP="00CB6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1A2" w:rsidRDefault="00A051A2" w:rsidP="00A051A2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E59E8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 w:rsidR="00C24186">
      <w:fldChar w:fldCharType="begin"/>
    </w:r>
    <w:r w:rsidR="00C24186">
      <w:instrText xml:space="preserve"> NUMPAGES   \* MERGEFORMAT </w:instrText>
    </w:r>
    <w:r w:rsidR="00C24186">
      <w:fldChar w:fldCharType="separate"/>
    </w:r>
    <w:r w:rsidR="000E59E8">
      <w:rPr>
        <w:noProof/>
      </w:rPr>
      <w:t>3</w:t>
    </w:r>
    <w:r w:rsidR="00C2418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CF8" w:rsidRDefault="005B6CF8" w:rsidP="005B6CF8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8350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fldSimple w:instr=" NUMPAGES   \* MERGEFORMAT ">
      <w:r w:rsidR="00F8350C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186" w:rsidRDefault="00C24186" w:rsidP="00CB60A0">
      <w:pPr>
        <w:spacing w:after="0" w:line="240" w:lineRule="auto"/>
      </w:pPr>
      <w:r>
        <w:separator/>
      </w:r>
    </w:p>
  </w:footnote>
  <w:footnote w:type="continuationSeparator" w:id="0">
    <w:p w:rsidR="00C24186" w:rsidRDefault="00C24186" w:rsidP="00CB6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5B6CF8" w:rsidRPr="005B6CF8" w:rsidTr="005B6CF8">
      <w:tc>
        <w:tcPr>
          <w:tcW w:w="4675" w:type="dxa"/>
        </w:tcPr>
        <w:p w:rsidR="005B6CF8" w:rsidRPr="005B6CF8" w:rsidRDefault="005B6CF8" w:rsidP="00B40F25">
          <w:pPr>
            <w:autoSpaceDE w:val="0"/>
            <w:autoSpaceDN w:val="0"/>
            <w:adjustRightInd w:val="0"/>
            <w:rPr>
              <w:rFonts w:ascii="Times New Roman" w:hAnsi="Times New Roman"/>
              <w:bCs/>
              <w:iCs/>
              <w:sz w:val="24"/>
              <w:szCs w:val="24"/>
            </w:rPr>
          </w:pPr>
          <w:r w:rsidRPr="005B6CF8">
            <w:rPr>
              <w:rFonts w:ascii="Times New Roman" w:hAnsi="Times New Roman"/>
              <w:bCs/>
              <w:iCs/>
              <w:sz w:val="24"/>
              <w:szCs w:val="24"/>
            </w:rPr>
            <w:t>PS6: Introduction to Data Analysis</w:t>
          </w:r>
        </w:p>
      </w:tc>
      <w:tc>
        <w:tcPr>
          <w:tcW w:w="4675" w:type="dxa"/>
        </w:tcPr>
        <w:p w:rsidR="005B6CF8" w:rsidRPr="005B6CF8" w:rsidRDefault="005B6CF8" w:rsidP="005B6CF8">
          <w:pPr>
            <w:autoSpaceDE w:val="0"/>
            <w:autoSpaceDN w:val="0"/>
            <w:adjustRightInd w:val="0"/>
            <w:jc w:val="right"/>
            <w:rPr>
              <w:rFonts w:ascii="Times New Roman" w:hAnsi="Times New Roman"/>
              <w:bCs/>
              <w:iCs/>
              <w:sz w:val="24"/>
              <w:szCs w:val="24"/>
            </w:rPr>
          </w:pPr>
          <w:r w:rsidRPr="005B6CF8">
            <w:rPr>
              <w:rFonts w:ascii="Times New Roman" w:hAnsi="Times New Roman"/>
              <w:bCs/>
              <w:iCs/>
              <w:sz w:val="24"/>
              <w:szCs w:val="24"/>
            </w:rPr>
            <w:t xml:space="preserve">Syllabus </w:t>
          </w:r>
        </w:p>
      </w:tc>
    </w:tr>
  </w:tbl>
  <w:p w:rsidR="005B6CF8" w:rsidRPr="005B6CF8" w:rsidRDefault="005B6CF8" w:rsidP="005B6CF8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Cs/>
        <w:i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46FD6"/>
    <w:multiLevelType w:val="hybridMultilevel"/>
    <w:tmpl w:val="80085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E7FE4"/>
    <w:multiLevelType w:val="hybridMultilevel"/>
    <w:tmpl w:val="EB7E071A"/>
    <w:lvl w:ilvl="0" w:tplc="ADBEBFB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5504A"/>
    <w:multiLevelType w:val="hybridMultilevel"/>
    <w:tmpl w:val="8176133E"/>
    <w:lvl w:ilvl="0" w:tplc="BFC2254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73"/>
    <w:rsid w:val="000746F8"/>
    <w:rsid w:val="00085E20"/>
    <w:rsid w:val="0009098D"/>
    <w:rsid w:val="00095DA1"/>
    <w:rsid w:val="000A604C"/>
    <w:rsid w:val="000B0FCC"/>
    <w:rsid w:val="000B354B"/>
    <w:rsid w:val="000E59E8"/>
    <w:rsid w:val="000F412A"/>
    <w:rsid w:val="00100206"/>
    <w:rsid w:val="00102060"/>
    <w:rsid w:val="001203BE"/>
    <w:rsid w:val="001213AF"/>
    <w:rsid w:val="00125C14"/>
    <w:rsid w:val="0014354D"/>
    <w:rsid w:val="001469D5"/>
    <w:rsid w:val="00151C9A"/>
    <w:rsid w:val="00161565"/>
    <w:rsid w:val="00182213"/>
    <w:rsid w:val="001A07F7"/>
    <w:rsid w:val="001C7BD1"/>
    <w:rsid w:val="001D4776"/>
    <w:rsid w:val="001E1EAC"/>
    <w:rsid w:val="00216744"/>
    <w:rsid w:val="002450ED"/>
    <w:rsid w:val="00255D75"/>
    <w:rsid w:val="002576D9"/>
    <w:rsid w:val="00287487"/>
    <w:rsid w:val="002923C2"/>
    <w:rsid w:val="002A3625"/>
    <w:rsid w:val="002A63EC"/>
    <w:rsid w:val="002D303D"/>
    <w:rsid w:val="003353B5"/>
    <w:rsid w:val="00352B08"/>
    <w:rsid w:val="00376FF9"/>
    <w:rsid w:val="00392943"/>
    <w:rsid w:val="003A2A4C"/>
    <w:rsid w:val="003A3094"/>
    <w:rsid w:val="003A3EBD"/>
    <w:rsid w:val="003E233F"/>
    <w:rsid w:val="003F45EA"/>
    <w:rsid w:val="00413C5C"/>
    <w:rsid w:val="00473166"/>
    <w:rsid w:val="00487764"/>
    <w:rsid w:val="004B7700"/>
    <w:rsid w:val="004C35B0"/>
    <w:rsid w:val="004C46E5"/>
    <w:rsid w:val="004D1F5B"/>
    <w:rsid w:val="004F0697"/>
    <w:rsid w:val="004F0CA9"/>
    <w:rsid w:val="004F7590"/>
    <w:rsid w:val="00523C7E"/>
    <w:rsid w:val="00532EFE"/>
    <w:rsid w:val="00537186"/>
    <w:rsid w:val="00552B7F"/>
    <w:rsid w:val="00575C1B"/>
    <w:rsid w:val="00596386"/>
    <w:rsid w:val="005B6CF8"/>
    <w:rsid w:val="005D57A6"/>
    <w:rsid w:val="005F5A76"/>
    <w:rsid w:val="006651CB"/>
    <w:rsid w:val="00686B23"/>
    <w:rsid w:val="006B1044"/>
    <w:rsid w:val="006D427D"/>
    <w:rsid w:val="0073262D"/>
    <w:rsid w:val="00763048"/>
    <w:rsid w:val="0076598E"/>
    <w:rsid w:val="0078528C"/>
    <w:rsid w:val="00793DD2"/>
    <w:rsid w:val="007A1D03"/>
    <w:rsid w:val="007B4E38"/>
    <w:rsid w:val="007B7FD3"/>
    <w:rsid w:val="007C36F9"/>
    <w:rsid w:val="00810CBA"/>
    <w:rsid w:val="00814D11"/>
    <w:rsid w:val="008371D5"/>
    <w:rsid w:val="00857010"/>
    <w:rsid w:val="00887C0E"/>
    <w:rsid w:val="008E4E20"/>
    <w:rsid w:val="00925354"/>
    <w:rsid w:val="00985233"/>
    <w:rsid w:val="009B353A"/>
    <w:rsid w:val="009C0C3E"/>
    <w:rsid w:val="009F2995"/>
    <w:rsid w:val="00A051A2"/>
    <w:rsid w:val="00A36C8F"/>
    <w:rsid w:val="00A40DB6"/>
    <w:rsid w:val="00A73FD2"/>
    <w:rsid w:val="00A920BF"/>
    <w:rsid w:val="00A9317B"/>
    <w:rsid w:val="00AA190E"/>
    <w:rsid w:val="00AA6E1A"/>
    <w:rsid w:val="00AE228D"/>
    <w:rsid w:val="00B31337"/>
    <w:rsid w:val="00B87A15"/>
    <w:rsid w:val="00B943BA"/>
    <w:rsid w:val="00BC704D"/>
    <w:rsid w:val="00BD0FC0"/>
    <w:rsid w:val="00BE74A1"/>
    <w:rsid w:val="00BF3C3A"/>
    <w:rsid w:val="00C2027D"/>
    <w:rsid w:val="00C24186"/>
    <w:rsid w:val="00C270FE"/>
    <w:rsid w:val="00C3402A"/>
    <w:rsid w:val="00C43A65"/>
    <w:rsid w:val="00C509C1"/>
    <w:rsid w:val="00C53779"/>
    <w:rsid w:val="00C54E73"/>
    <w:rsid w:val="00C71E2F"/>
    <w:rsid w:val="00C91CA9"/>
    <w:rsid w:val="00CB1752"/>
    <w:rsid w:val="00CB60A0"/>
    <w:rsid w:val="00CD3D46"/>
    <w:rsid w:val="00CF39F7"/>
    <w:rsid w:val="00D27094"/>
    <w:rsid w:val="00D71517"/>
    <w:rsid w:val="00D804A4"/>
    <w:rsid w:val="00DB7BF5"/>
    <w:rsid w:val="00DB7BFF"/>
    <w:rsid w:val="00DC1EE8"/>
    <w:rsid w:val="00DE4E75"/>
    <w:rsid w:val="00E04414"/>
    <w:rsid w:val="00E32055"/>
    <w:rsid w:val="00E3226F"/>
    <w:rsid w:val="00E32272"/>
    <w:rsid w:val="00E447D7"/>
    <w:rsid w:val="00E52A08"/>
    <w:rsid w:val="00E6713E"/>
    <w:rsid w:val="00E73C91"/>
    <w:rsid w:val="00E75177"/>
    <w:rsid w:val="00ED1093"/>
    <w:rsid w:val="00EF71B3"/>
    <w:rsid w:val="00F8350C"/>
    <w:rsid w:val="00FC5821"/>
    <w:rsid w:val="00FD2D06"/>
    <w:rsid w:val="00FD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D0F1E3-FAC8-4814-817F-415E8F8E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4E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B60A0"/>
    <w:pPr>
      <w:spacing w:after="0" w:line="240" w:lineRule="auto"/>
    </w:pPr>
    <w:rPr>
      <w:rFonts w:ascii="Times" w:eastAsia="Times" w:hAnsi="Times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B60A0"/>
    <w:pPr>
      <w:spacing w:after="0" w:line="240" w:lineRule="auto"/>
    </w:pPr>
    <w:rPr>
      <w:rFonts w:ascii="Times New Roman" w:eastAsia="Times" w:hAnsi="Times New Roman" w:cs="Times New Roman"/>
      <w:sz w:val="20"/>
      <w:szCs w:val="20"/>
      <w:lang w:eastAsia="ko-K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60A0"/>
    <w:rPr>
      <w:rFonts w:ascii="Times New Roman" w:eastAsia="Times" w:hAnsi="Times New Roman" w:cs="Times New Roman"/>
      <w:sz w:val="20"/>
      <w:szCs w:val="20"/>
      <w:lang w:eastAsia="ko-KR"/>
    </w:rPr>
  </w:style>
  <w:style w:type="character" w:styleId="FootnoteReference">
    <w:name w:val="footnote reference"/>
    <w:basedOn w:val="DefaultParagraphFont"/>
    <w:uiPriority w:val="99"/>
    <w:semiHidden/>
    <w:unhideWhenUsed/>
    <w:rsid w:val="00CB60A0"/>
    <w:rPr>
      <w:vertAlign w:val="superscript"/>
    </w:rPr>
  </w:style>
  <w:style w:type="paragraph" w:styleId="ListParagraph">
    <w:name w:val="List Paragraph"/>
    <w:basedOn w:val="Normal"/>
    <w:uiPriority w:val="34"/>
    <w:qFormat/>
    <w:rsid w:val="003E23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F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51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1A2"/>
  </w:style>
  <w:style w:type="paragraph" w:styleId="Footer">
    <w:name w:val="footer"/>
    <w:basedOn w:val="Normal"/>
    <w:link w:val="FooterChar"/>
    <w:uiPriority w:val="99"/>
    <w:unhideWhenUsed/>
    <w:rsid w:val="00A051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1A2"/>
  </w:style>
  <w:style w:type="character" w:styleId="FollowedHyperlink">
    <w:name w:val="FollowedHyperlink"/>
    <w:basedOn w:val="DefaultParagraphFont"/>
    <w:uiPriority w:val="99"/>
    <w:semiHidden/>
    <w:unhideWhenUsed/>
    <w:rsid w:val="002874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2.sscnet.ucla.edu/course/view/131C-POLSCI6-1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anielklim@ucla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ts.ucla.edu/sta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cnx.org/content/col10522/la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icc.ucla.edu/tiki-index.php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Lim</dc:creator>
  <cp:keywords/>
  <dc:description/>
  <cp:lastModifiedBy>Daniel Lim</cp:lastModifiedBy>
  <cp:revision>23</cp:revision>
  <dcterms:created xsi:type="dcterms:W3CDTF">2013-07-07T16:11:00Z</dcterms:created>
  <dcterms:modified xsi:type="dcterms:W3CDTF">2013-08-04T03:19:00Z</dcterms:modified>
</cp:coreProperties>
</file>