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5AE7" w14:textId="0E2A7BD1" w:rsidR="008D6C8A" w:rsidRDefault="008D6C8A" w:rsidP="0069298F">
      <w:pPr>
        <w:jc w:val="center"/>
        <w:rPr>
          <w:sz w:val="28"/>
          <w:szCs w:val="28"/>
          <w:u w:val="single"/>
          <w:shd w:val="clear" w:color="auto" w:fill="FFFFFF"/>
        </w:rPr>
      </w:pPr>
      <w:r w:rsidRPr="0069298F">
        <w:rPr>
          <w:sz w:val="28"/>
          <w:szCs w:val="28"/>
          <w:u w:val="single"/>
          <w:shd w:val="clear" w:color="auto" w:fill="FFFFFF"/>
        </w:rPr>
        <w:t>COVID 19 USING COGNOS</w:t>
      </w:r>
    </w:p>
    <w:p w14:paraId="0159A5E0" w14:textId="09D1B8E2" w:rsidR="0069298F" w:rsidRPr="0069298F" w:rsidRDefault="0069298F" w:rsidP="0069298F">
      <w:pPr>
        <w:rPr>
          <w:shd w:val="clear" w:color="auto" w:fill="FFFFFF"/>
        </w:rPr>
      </w:pPr>
      <w:r w:rsidRPr="0069298F">
        <w:rPr>
          <w:sz w:val="24"/>
          <w:szCs w:val="24"/>
          <w:shd w:val="clear" w:color="auto" w:fill="FFFFFF"/>
        </w:rPr>
        <w:t>INTRODUCTION</w:t>
      </w:r>
    </w:p>
    <w:p w14:paraId="12707CB3" w14:textId="51C41D71" w:rsidR="00435658" w:rsidRDefault="008D6C8A" w:rsidP="00435658">
      <w:r w:rsidRPr="0069298F">
        <w:t xml:space="preserve"> </w:t>
      </w:r>
      <w:hyperlink r:id="rId5" w:tgtFrame="_blank" w:history="1">
        <w:r w:rsidR="00435658" w:rsidRPr="0069298F">
          <w:t>IBM has developed a new, interactive global dashboard to show the spread of COVID-19 across the world using IBM Cognos Analytics</w:t>
        </w:r>
        <w:r w:rsidR="00435658" w:rsidRPr="0069298F">
          <w:rPr>
            <w:rStyle w:val="Hyperlink"/>
            <w:rFonts w:ascii="Arial" w:hAnsi="Arial" w:cs="Arial"/>
          </w:rPr>
          <w:t xml:space="preserve"> </w:t>
        </w:r>
      </w:hyperlink>
      <w:r w:rsidR="0069298F">
        <w:rPr>
          <w:color w:val="000000"/>
        </w:rPr>
        <w:t>.</w:t>
      </w:r>
      <w:r w:rsidR="00435658" w:rsidRPr="0069298F">
        <w:rPr>
          <w:color w:val="000000"/>
        </w:rPr>
        <w:t>The COVID-19 data reflected in this dashboard is pulled from state and local governments and the World Health Organization. The dashboard is designed to give the general public, researchers and even government officials detailed, localized and current information about COVID-19. The dashboard provides multiple ways to summarize data. For example, users can view statistics on active cases, deaths and recovered patients by country; number of cases by region; and historical trends</w:t>
      </w:r>
      <w:r w:rsidR="00435658" w:rsidRPr="0069298F">
        <w:t xml:space="preserve">. </w:t>
      </w:r>
      <w:hyperlink r:id="rId6" w:history="1">
        <w:r w:rsidR="00435658" w:rsidRPr="0069298F">
          <w:t xml:space="preserve">IBM is also considering developing additional tools for researchers </w:t>
        </w:r>
      </w:hyperlink>
      <w:r w:rsidR="00435658" w:rsidRPr="0069298F">
        <w:t>.</w:t>
      </w:r>
    </w:p>
    <w:p w14:paraId="01229D59" w14:textId="16573A3F" w:rsidR="0069298F" w:rsidRPr="00E2426A" w:rsidRDefault="00E2426A" w:rsidP="00435658">
      <w:pPr>
        <w:rPr>
          <w:sz w:val="24"/>
          <w:szCs w:val="24"/>
        </w:rPr>
      </w:pPr>
      <w:r w:rsidRPr="00E2426A">
        <w:rPr>
          <w:sz w:val="24"/>
          <w:szCs w:val="24"/>
        </w:rPr>
        <w:t xml:space="preserve">USAGE OF COGNOS IN ANALYTICS </w:t>
      </w:r>
    </w:p>
    <w:p w14:paraId="0DC8298D" w14:textId="22B5BBEC" w:rsidR="00D26903" w:rsidRDefault="00E2426A" w:rsidP="00E2426A">
      <w:pPr>
        <w:pStyle w:val="ListParagraph"/>
        <w:numPr>
          <w:ilvl w:val="0"/>
          <w:numId w:val="1"/>
        </w:numPr>
        <w:rPr>
          <w:shd w:val="clear" w:color="auto" w:fill="FFFFFF"/>
        </w:rPr>
      </w:pPr>
      <w:r w:rsidRPr="00E2426A">
        <w:rPr>
          <w:sz w:val="24"/>
          <w:szCs w:val="24"/>
          <w:shd w:val="clear" w:color="auto" w:fill="FFFFFF"/>
        </w:rPr>
        <w:t xml:space="preserve">Interactive </w:t>
      </w:r>
      <w:r w:rsidR="00456FE7">
        <w:rPr>
          <w:sz w:val="24"/>
          <w:szCs w:val="24"/>
          <w:shd w:val="clear" w:color="auto" w:fill="FFFFFF"/>
        </w:rPr>
        <w:t>V</w:t>
      </w:r>
      <w:r w:rsidRPr="00E2426A">
        <w:rPr>
          <w:sz w:val="24"/>
          <w:szCs w:val="24"/>
          <w:shd w:val="clear" w:color="auto" w:fill="FFFFFF"/>
        </w:rPr>
        <w:t>isualizations</w:t>
      </w:r>
      <w:r w:rsidRPr="00E2426A">
        <w:rPr>
          <w:shd w:val="clear" w:color="auto" w:fill="FFFFFF"/>
        </w:rPr>
        <w:t xml:space="preserve">: </w:t>
      </w:r>
      <w:r w:rsidR="00456FE7">
        <w:rPr>
          <w:shd w:val="clear" w:color="auto" w:fill="FFFFFF"/>
        </w:rPr>
        <w:t xml:space="preserve"> </w:t>
      </w:r>
      <w:r w:rsidRPr="00E2426A">
        <w:rPr>
          <w:shd w:val="clear" w:color="auto" w:fill="FFFFFF"/>
        </w:rPr>
        <w:t>Users can interact with the visualizations, such as zooming in on specific regions, selecting data points for detailed information, and comparing trends over time.</w:t>
      </w:r>
    </w:p>
    <w:p w14:paraId="5E782A79" w14:textId="77777777" w:rsidR="00456FE7" w:rsidRDefault="00456FE7" w:rsidP="00456FE7">
      <w:pPr>
        <w:pStyle w:val="ListParagraph"/>
        <w:rPr>
          <w:shd w:val="clear" w:color="auto" w:fill="FFFFFF"/>
        </w:rPr>
      </w:pPr>
    </w:p>
    <w:p w14:paraId="270F6885" w14:textId="77777777" w:rsidR="00D67624" w:rsidRDefault="00E2426A" w:rsidP="00D67624">
      <w:pPr>
        <w:pStyle w:val="ListParagraph"/>
        <w:numPr>
          <w:ilvl w:val="0"/>
          <w:numId w:val="1"/>
        </w:numPr>
        <w:rPr>
          <w:rFonts w:ascii="Arial" w:hAnsi="Arial" w:cs="Arial"/>
          <w:color w:val="000000" w:themeColor="text1"/>
        </w:rPr>
      </w:pPr>
      <w:r w:rsidRPr="00456FE7">
        <w:rPr>
          <w:sz w:val="24"/>
          <w:szCs w:val="24"/>
          <w:shd w:val="clear" w:color="auto" w:fill="FFFFFF"/>
        </w:rPr>
        <w:t>Data Collection and Integration</w:t>
      </w:r>
      <w:r w:rsidRPr="00456FE7">
        <w:rPr>
          <w:shd w:val="clear" w:color="auto" w:fill="FFFFFF"/>
        </w:rPr>
        <w:t>:</w:t>
      </w:r>
      <w:r w:rsidR="00456FE7" w:rsidRPr="00456FE7">
        <w:t xml:space="preserve">  </w:t>
      </w:r>
      <w:r w:rsidR="00456FE7" w:rsidRPr="00456FE7">
        <w:rPr>
          <w:rFonts w:ascii="Arial" w:hAnsi="Arial" w:cs="Arial"/>
          <w:color w:val="000000" w:themeColor="text1"/>
        </w:rPr>
        <w:t xml:space="preserve"> </w:t>
      </w:r>
      <w:hyperlink r:id="rId7" w:tgtFrame="_blank" w:history="1">
        <w:r w:rsidR="00456FE7" w:rsidRPr="00456FE7">
          <w:rPr>
            <w:rStyle w:val="Hyperlink"/>
            <w:rFonts w:ascii="Arial" w:hAnsi="Arial" w:cs="Arial"/>
            <w:color w:val="000000" w:themeColor="text1"/>
            <w:u w:val="none"/>
          </w:rPr>
          <w:t>Data integration enables you to easily access all of the data you need to make informed business decisions and allows you to transform and combine data sources for accurate analysis </w:t>
        </w:r>
      </w:hyperlink>
      <w:r w:rsidR="00456FE7" w:rsidRPr="00456FE7">
        <w:rPr>
          <w:rFonts w:ascii="Arial" w:hAnsi="Arial" w:cs="Arial"/>
          <w:color w:val="000000" w:themeColor="text1"/>
        </w:rPr>
        <w:t>. </w:t>
      </w:r>
      <w:hyperlink r:id="rId8" w:tgtFrame="_blank" w:history="1">
        <w:r w:rsidR="00456FE7" w:rsidRPr="00456FE7">
          <w:rPr>
            <w:rStyle w:val="Hyperlink"/>
            <w:rFonts w:ascii="Arial" w:hAnsi="Arial" w:cs="Arial"/>
            <w:color w:val="000000" w:themeColor="text1"/>
            <w:u w:val="none"/>
          </w:rPr>
          <w:t>The insights that result from having your data contextualized are invaluable because they allow business users to quickly determine what actions should be taken</w:t>
        </w:r>
      </w:hyperlink>
      <w:r w:rsidR="00456FE7">
        <w:rPr>
          <w:rFonts w:ascii="Arial" w:hAnsi="Arial" w:cs="Arial"/>
          <w:color w:val="000000" w:themeColor="text1"/>
        </w:rPr>
        <w:t>.</w:t>
      </w:r>
    </w:p>
    <w:p w14:paraId="1529831F" w14:textId="77777777" w:rsidR="00D67624" w:rsidRPr="00D67624" w:rsidRDefault="00D67624" w:rsidP="00D67624">
      <w:pPr>
        <w:pStyle w:val="ListParagraph"/>
        <w:rPr>
          <w:color w:val="000000" w:themeColor="text1"/>
          <w:sz w:val="24"/>
          <w:szCs w:val="24"/>
        </w:rPr>
      </w:pPr>
    </w:p>
    <w:p w14:paraId="58A910FA" w14:textId="16E695D9" w:rsidR="00456FE7" w:rsidRPr="00F6056D" w:rsidRDefault="00456FE7" w:rsidP="00D67624">
      <w:pPr>
        <w:pStyle w:val="ListParagraph"/>
        <w:numPr>
          <w:ilvl w:val="0"/>
          <w:numId w:val="1"/>
        </w:numPr>
        <w:rPr>
          <w:rFonts w:ascii="Arial" w:hAnsi="Arial" w:cs="Arial"/>
          <w:color w:val="000000" w:themeColor="text1"/>
        </w:rPr>
      </w:pPr>
      <w:r w:rsidRPr="00D67624">
        <w:rPr>
          <w:color w:val="000000" w:themeColor="text1"/>
          <w:sz w:val="24"/>
          <w:szCs w:val="24"/>
        </w:rPr>
        <w:t xml:space="preserve">Sharing Insights:  </w:t>
      </w:r>
      <w:r w:rsidRPr="00456FE7">
        <w:t xml:space="preserve">Cognos Analytics provides several ways to share insights and analysis results with others. </w:t>
      </w:r>
      <w:hyperlink r:id="rId9" w:tgtFrame="_blank" w:history="1">
        <w:r w:rsidRPr="00456FE7">
          <w:t xml:space="preserve">we can share insights with or without a visualization from the Assistant via email, Slack, and Microsoft Teams </w:t>
        </w:r>
      </w:hyperlink>
      <w:r w:rsidRPr="00456FE7">
        <w:t xml:space="preserve">. </w:t>
      </w:r>
      <w:hyperlink r:id="rId10" w:tgtFrame="_blank" w:history="1">
        <w:r w:rsidRPr="00456FE7">
          <w:t xml:space="preserve">Your administrator must configure a mail server and/or a collaboration platform before you can use this feature </w:t>
        </w:r>
      </w:hyperlink>
      <w:r w:rsidRPr="00456FE7">
        <w:t xml:space="preserve">. </w:t>
      </w:r>
      <w:hyperlink r:id="rId11" w:tgtFrame="_blank" w:history="1">
        <w:r w:rsidRPr="00456FE7">
          <w:t>You can also share dashboard content by creating a URL to the content, creating code that can be embedded in a webpage, and creating a PDF of the dashboard</w:t>
        </w:r>
        <w:r w:rsidRPr="00D67624">
          <w:rPr>
            <w:color w:val="0000FF"/>
            <w:u w:val="single"/>
          </w:rPr>
          <w:t xml:space="preserve"> </w:t>
        </w:r>
      </w:hyperlink>
      <w:r w:rsidRPr="00456FE7">
        <w:t>.</w:t>
      </w:r>
    </w:p>
    <w:p w14:paraId="456E47B3" w14:textId="77777777" w:rsidR="00F6056D" w:rsidRPr="00F6056D" w:rsidRDefault="00F6056D" w:rsidP="00F6056D">
      <w:pPr>
        <w:pStyle w:val="ListParagraph"/>
        <w:rPr>
          <w:rFonts w:ascii="Arial" w:hAnsi="Arial" w:cs="Arial"/>
          <w:color w:val="000000" w:themeColor="text1"/>
          <w:sz w:val="24"/>
          <w:szCs w:val="24"/>
        </w:rPr>
      </w:pPr>
    </w:p>
    <w:p w14:paraId="0CF81CE4" w14:textId="2D58EFE7" w:rsidR="00F6056D" w:rsidRPr="003A103E" w:rsidRDefault="00F6056D" w:rsidP="003A103E">
      <w:pPr>
        <w:rPr>
          <w:rFonts w:ascii="Arial" w:hAnsi="Arial" w:cs="Arial"/>
          <w:color w:val="000000" w:themeColor="text1"/>
          <w:sz w:val="24"/>
          <w:szCs w:val="24"/>
        </w:rPr>
      </w:pPr>
      <w:r w:rsidRPr="003A103E">
        <w:rPr>
          <w:rFonts w:ascii="Arial" w:hAnsi="Arial" w:cs="Arial"/>
          <w:color w:val="000000" w:themeColor="text1"/>
          <w:sz w:val="24"/>
          <w:szCs w:val="24"/>
        </w:rPr>
        <w:t>KEY TOOLS IN COGNOS</w:t>
      </w:r>
    </w:p>
    <w:p w14:paraId="30565AF5" w14:textId="1557F6BC" w:rsidR="00F6056D" w:rsidRPr="003A103E" w:rsidRDefault="00F6056D" w:rsidP="003A103E">
      <w:pPr>
        <w:jc w:val="both"/>
        <w:rPr>
          <w:rFonts w:ascii="Arial" w:hAnsi="Arial" w:cs="Arial"/>
          <w:color w:val="000000" w:themeColor="text1"/>
        </w:rPr>
      </w:pPr>
      <w:r w:rsidRPr="003A103E">
        <w:rPr>
          <w:rFonts w:ascii="Arial" w:hAnsi="Arial" w:cs="Arial"/>
          <w:color w:val="000000" w:themeColor="text1"/>
        </w:rPr>
        <w:t>NYGH successfully used IBM Cognos</w:t>
      </w:r>
      <w:r w:rsidR="003A103E" w:rsidRPr="003A103E">
        <w:rPr>
          <w:rFonts w:ascii="Arial" w:hAnsi="Arial" w:cs="Arial"/>
          <w:color w:val="000000" w:themeColor="text1"/>
        </w:rPr>
        <w:t xml:space="preserve"> </w:t>
      </w:r>
      <w:r w:rsidRPr="003A103E">
        <w:rPr>
          <w:rFonts w:ascii="Arial" w:hAnsi="Arial" w:cs="Arial"/>
          <w:color w:val="000000" w:themeColor="text1"/>
        </w:rPr>
        <w:t xml:space="preserve">Analytics software to measure and report its QBPs, developing and delivering reports for individual metrics such as cost per case, length of stay, patient age and so on. However, the hospital needed a way to dynamically visualize the relationships between variables on the fly, instead of creating a new report for each relationship </w:t>
      </w:r>
      <w:r w:rsidR="003A103E" w:rsidRPr="003A103E">
        <w:rPr>
          <w:rFonts w:ascii="Arial" w:hAnsi="Arial" w:cs="Arial"/>
          <w:color w:val="000000" w:themeColor="text1"/>
        </w:rPr>
        <w:t>A</w:t>
      </w:r>
      <w:r w:rsidRPr="003A103E">
        <w:rPr>
          <w:rFonts w:ascii="Arial" w:hAnsi="Arial" w:cs="Arial"/>
          <w:color w:val="000000" w:themeColor="text1"/>
        </w:rPr>
        <w:t>nalysis.</w:t>
      </w:r>
      <w:r w:rsidR="003A103E" w:rsidRPr="003A103E">
        <w:rPr>
          <w:rFonts w:ascii="Arial" w:hAnsi="Arial" w:cs="Arial"/>
          <w:color w:val="000000" w:themeColor="text1"/>
        </w:rPr>
        <w:t xml:space="preserve"> </w:t>
      </w:r>
      <w:r w:rsidRPr="003A103E">
        <w:rPr>
          <w:rFonts w:ascii="Arial" w:hAnsi="Arial" w:cs="Arial"/>
          <w:color w:val="000000" w:themeColor="text1"/>
        </w:rPr>
        <w:t>In 2017, the hospital engaged IBM to begin transforming its analytics infrastructure to provide a more powerful and flexible way to monitor QBP performance.</w:t>
      </w:r>
      <w:r w:rsidR="003A103E" w:rsidRPr="003A103E">
        <w:t xml:space="preserve"> </w:t>
      </w:r>
      <w:r w:rsidR="003A103E" w:rsidRPr="003A103E">
        <w:rPr>
          <w:rFonts w:ascii="Arial" w:hAnsi="Arial" w:cs="Arial"/>
          <w:color w:val="000000" w:themeColor="text1"/>
        </w:rPr>
        <w:t>The BI team needed to create a dynamic, real-time dashboard to track active cases and measure the impact of the pandemic on its service provision.</w:t>
      </w:r>
      <w:r w:rsidR="003A103E" w:rsidRPr="003A103E">
        <w:t xml:space="preserve"> </w:t>
      </w:r>
      <w:r w:rsidR="003A103E" w:rsidRPr="003A103E">
        <w:rPr>
          <w:rFonts w:ascii="Arial" w:hAnsi="Arial" w:cs="Arial"/>
          <w:color w:val="000000" w:themeColor="text1"/>
        </w:rPr>
        <w:t>Community transmission has a high impact on the hospital, we needed to be able to measure them in near real time.</w:t>
      </w:r>
    </w:p>
    <w:p w14:paraId="05C61904" w14:textId="77777777" w:rsidR="003A103E" w:rsidRDefault="003A103E" w:rsidP="00F6056D">
      <w:pPr>
        <w:pStyle w:val="ListParagraph"/>
        <w:rPr>
          <w:rFonts w:ascii="Arial" w:hAnsi="Arial" w:cs="Arial"/>
          <w:color w:val="000000" w:themeColor="text1"/>
        </w:rPr>
      </w:pPr>
    </w:p>
    <w:p w14:paraId="34F9695D" w14:textId="6A2E8434" w:rsidR="003A103E" w:rsidRPr="001B43FC" w:rsidRDefault="003A103E" w:rsidP="00470E9C">
      <w:pPr>
        <w:pStyle w:val="ListParagraph"/>
        <w:numPr>
          <w:ilvl w:val="0"/>
          <w:numId w:val="1"/>
        </w:numPr>
        <w:rPr>
          <w:rFonts w:ascii="Arial" w:hAnsi="Arial" w:cs="Arial"/>
          <w:color w:val="000000" w:themeColor="text1"/>
          <w:sz w:val="20"/>
          <w:szCs w:val="20"/>
        </w:rPr>
      </w:pPr>
      <w:r w:rsidRPr="003A103E">
        <w:rPr>
          <w:rFonts w:ascii="Arial" w:hAnsi="Arial" w:cs="Arial"/>
          <w:color w:val="000000" w:themeColor="text1"/>
          <w:sz w:val="24"/>
          <w:szCs w:val="24"/>
        </w:rPr>
        <w:t>Faster Insights:</w:t>
      </w:r>
      <w:r w:rsidRPr="003A103E">
        <w:t xml:space="preserve"> </w:t>
      </w:r>
      <w:r w:rsidRPr="003A103E">
        <w:rPr>
          <w:rFonts w:ascii="Arial" w:hAnsi="Arial" w:cs="Arial"/>
          <w:color w:val="000000" w:themeColor="text1"/>
        </w:rPr>
        <w:t>AI-powered automation and insights in Cognos Analytics enable everyone in your organization to unlock the full potential of your data. The natural language AI assistant is always available</w:t>
      </w:r>
      <w:r>
        <w:rPr>
          <w:rFonts w:ascii="Arial" w:hAnsi="Arial" w:cs="Arial"/>
          <w:color w:val="000000" w:themeColor="text1"/>
        </w:rPr>
        <w:t xml:space="preserve"> to </w:t>
      </w:r>
      <w:r w:rsidRPr="003A103E">
        <w:rPr>
          <w:rFonts w:ascii="Arial" w:hAnsi="Arial" w:cs="Arial"/>
          <w:color w:val="000000" w:themeColor="text1"/>
        </w:rPr>
        <w:t xml:space="preserve">describe the data you need and let Cognos Analytics build stunning </w:t>
      </w:r>
      <w:r>
        <w:rPr>
          <w:rFonts w:ascii="Arial" w:hAnsi="Arial" w:cs="Arial"/>
          <w:color w:val="000000" w:themeColor="text1"/>
        </w:rPr>
        <w:t>D</w:t>
      </w:r>
      <w:r w:rsidRPr="003A103E">
        <w:rPr>
          <w:rFonts w:ascii="Arial" w:hAnsi="Arial" w:cs="Arial"/>
          <w:color w:val="000000" w:themeColor="text1"/>
        </w:rPr>
        <w:t xml:space="preserve">ata </w:t>
      </w:r>
      <w:r>
        <w:rPr>
          <w:rFonts w:ascii="Arial" w:hAnsi="Arial" w:cs="Arial"/>
          <w:color w:val="000000" w:themeColor="text1"/>
        </w:rPr>
        <w:t>V</w:t>
      </w:r>
      <w:r w:rsidRPr="003A103E">
        <w:rPr>
          <w:rFonts w:ascii="Arial" w:hAnsi="Arial" w:cs="Arial"/>
          <w:color w:val="000000" w:themeColor="text1"/>
        </w:rPr>
        <w:t>isualizations</w:t>
      </w:r>
      <w:r>
        <w:rPr>
          <w:rFonts w:ascii="Arial" w:hAnsi="Arial" w:cs="Arial"/>
          <w:color w:val="000000" w:themeColor="text1"/>
        </w:rPr>
        <w:t>.</w:t>
      </w:r>
    </w:p>
    <w:p w14:paraId="61771727" w14:textId="7B301CCF" w:rsidR="00D851D5" w:rsidRPr="00D851D5" w:rsidRDefault="001B43FC" w:rsidP="00D851D5">
      <w:pPr>
        <w:pStyle w:val="ListParagraph"/>
        <w:numPr>
          <w:ilvl w:val="0"/>
          <w:numId w:val="1"/>
        </w:numPr>
        <w:rPr>
          <w:rFonts w:ascii="Arial" w:hAnsi="Arial" w:cs="Arial"/>
          <w:color w:val="000000" w:themeColor="text1"/>
        </w:rPr>
      </w:pPr>
      <w:r w:rsidRPr="00D851D5">
        <w:rPr>
          <w:rFonts w:ascii="Arial" w:hAnsi="Arial" w:cs="Arial"/>
          <w:color w:val="000000" w:themeColor="text1"/>
          <w:sz w:val="24"/>
          <w:szCs w:val="24"/>
        </w:rPr>
        <w:lastRenderedPageBreak/>
        <w:t>Data Calculation</w:t>
      </w:r>
      <w:r>
        <w:rPr>
          <w:rFonts w:ascii="Arial" w:hAnsi="Arial" w:cs="Arial"/>
          <w:color w:val="000000" w:themeColor="text1"/>
        </w:rPr>
        <w:t>:</w:t>
      </w:r>
      <w:r w:rsidR="00D851D5" w:rsidRPr="00D851D5">
        <w:t xml:space="preserve"> </w:t>
      </w:r>
      <w:r w:rsidR="00D851D5" w:rsidRPr="00D851D5">
        <w:rPr>
          <w:rFonts w:ascii="Arial" w:hAnsi="Arial" w:cs="Arial"/>
          <w:color w:val="000000" w:themeColor="text1"/>
        </w:rPr>
        <w:t>In data analytics, the standard deviation and the sum of the mean squares (also known as the sum of squared deviations or variance) are two important statistical measures used to understand the variability within a data set.</w:t>
      </w:r>
    </w:p>
    <w:p w14:paraId="30C01F11" w14:textId="77777777" w:rsidR="00D851D5" w:rsidRPr="00D851D5" w:rsidRDefault="00D851D5" w:rsidP="00D851D5">
      <w:pPr>
        <w:pStyle w:val="ListParagraph"/>
        <w:rPr>
          <w:rFonts w:ascii="Arial" w:hAnsi="Arial" w:cs="Arial"/>
          <w:color w:val="000000" w:themeColor="text1"/>
        </w:rPr>
      </w:pPr>
    </w:p>
    <w:p w14:paraId="007CEB83" w14:textId="134BFE78" w:rsidR="00D851D5" w:rsidRPr="00D851D5" w:rsidRDefault="00D851D5" w:rsidP="00D851D5">
      <w:pPr>
        <w:pStyle w:val="ListParagraph"/>
        <w:numPr>
          <w:ilvl w:val="0"/>
          <w:numId w:val="3"/>
        </w:numPr>
        <w:rPr>
          <w:rFonts w:ascii="Arial" w:hAnsi="Arial" w:cs="Arial"/>
          <w:color w:val="000000" w:themeColor="text1"/>
        </w:rPr>
      </w:pPr>
      <w:r w:rsidRPr="00D851D5">
        <w:rPr>
          <w:rFonts w:ascii="Arial" w:hAnsi="Arial" w:cs="Arial"/>
          <w:color w:val="000000" w:themeColor="text1"/>
        </w:rPr>
        <w:t xml:space="preserve">Standard Deviation: The standard deviation measures the amount of variation or dispersion in a set of </w:t>
      </w:r>
      <w:r w:rsidR="003F1967">
        <w:rPr>
          <w:rFonts w:ascii="Arial" w:hAnsi="Arial" w:cs="Arial"/>
          <w:color w:val="000000" w:themeColor="text1"/>
        </w:rPr>
        <w:t>D</w:t>
      </w:r>
      <w:r w:rsidRPr="00D851D5">
        <w:rPr>
          <w:rFonts w:ascii="Arial" w:hAnsi="Arial" w:cs="Arial"/>
          <w:color w:val="000000" w:themeColor="text1"/>
        </w:rPr>
        <w:t>ata</w:t>
      </w:r>
      <w:r w:rsidR="001D6C75">
        <w:rPr>
          <w:rFonts w:ascii="Arial" w:hAnsi="Arial" w:cs="Arial"/>
          <w:color w:val="000000" w:themeColor="text1"/>
        </w:rPr>
        <w:t xml:space="preserve"> </w:t>
      </w:r>
      <w:r w:rsidR="003F1967">
        <w:rPr>
          <w:rFonts w:ascii="Arial" w:hAnsi="Arial" w:cs="Arial"/>
          <w:color w:val="000000" w:themeColor="text1"/>
        </w:rPr>
        <w:t>P</w:t>
      </w:r>
      <w:r w:rsidRPr="00D851D5">
        <w:rPr>
          <w:rFonts w:ascii="Arial" w:hAnsi="Arial" w:cs="Arial"/>
          <w:color w:val="000000" w:themeColor="text1"/>
        </w:rPr>
        <w:t>oints</w:t>
      </w:r>
      <w:r w:rsidR="003F1967">
        <w:rPr>
          <w:rFonts w:ascii="Arial" w:hAnsi="Arial" w:cs="Arial"/>
          <w:color w:val="000000" w:themeColor="text1"/>
        </w:rPr>
        <w:t xml:space="preserve">. </w:t>
      </w:r>
      <w:r w:rsidRPr="00D851D5">
        <w:rPr>
          <w:rFonts w:ascii="Arial" w:hAnsi="Arial" w:cs="Arial"/>
          <w:color w:val="000000" w:themeColor="text1"/>
        </w:rPr>
        <w:t>It quantifies how individual data points deviate from the mean (average) of the data set. A higher standard deviation indicates greater variability, while a lower standard deviation suggests that data points are closer to the mean. The formula for calculating the standard deviation is the square root of the variance:</w:t>
      </w:r>
    </w:p>
    <w:p w14:paraId="30761F14" w14:textId="7D92EAF1" w:rsidR="00D851D5" w:rsidRPr="00D851D5" w:rsidRDefault="00D851D5" w:rsidP="00D851D5">
      <w:pPr>
        <w:pStyle w:val="ListParagraph"/>
        <w:jc w:val="center"/>
        <w:rPr>
          <w:rFonts w:ascii="Arial" w:hAnsi="Arial" w:cs="Arial"/>
          <w:color w:val="000000" w:themeColor="text1"/>
        </w:rPr>
      </w:pPr>
      <w:r w:rsidRPr="00D851D5">
        <w:rPr>
          <w:rFonts w:ascii="Arial" w:hAnsi="Arial" w:cs="Arial"/>
          <w:color w:val="000000" w:themeColor="text1"/>
        </w:rPr>
        <w:t>Standard Deviation (σ) = √Variance</w:t>
      </w:r>
    </w:p>
    <w:p w14:paraId="6C7C14A6" w14:textId="77777777" w:rsidR="00D851D5" w:rsidRDefault="00D851D5" w:rsidP="00D851D5">
      <w:pPr>
        <w:pStyle w:val="ListParagraph"/>
        <w:rPr>
          <w:rFonts w:ascii="Arial" w:hAnsi="Arial" w:cs="Arial"/>
          <w:color w:val="000000" w:themeColor="text1"/>
        </w:rPr>
      </w:pPr>
      <w:r>
        <w:rPr>
          <w:rFonts w:ascii="Arial" w:hAnsi="Arial" w:cs="Arial"/>
          <w:color w:val="000000" w:themeColor="text1"/>
        </w:rPr>
        <w:t xml:space="preserve">    </w:t>
      </w:r>
    </w:p>
    <w:p w14:paraId="441B5BDD" w14:textId="5DC699D1" w:rsidR="00D851D5" w:rsidRDefault="00D851D5" w:rsidP="00D851D5">
      <w:pPr>
        <w:pStyle w:val="ListParagraph"/>
        <w:numPr>
          <w:ilvl w:val="0"/>
          <w:numId w:val="3"/>
        </w:numPr>
        <w:rPr>
          <w:rFonts w:ascii="Arial" w:hAnsi="Arial" w:cs="Arial"/>
          <w:color w:val="000000" w:themeColor="text1"/>
        </w:rPr>
      </w:pPr>
      <w:r w:rsidRPr="00D851D5">
        <w:rPr>
          <w:rFonts w:ascii="Arial" w:hAnsi="Arial" w:cs="Arial"/>
          <w:color w:val="000000" w:themeColor="text1"/>
          <w:sz w:val="24"/>
          <w:szCs w:val="24"/>
        </w:rPr>
        <w:t>Sum of Mean Squares (Variance</w:t>
      </w:r>
      <w:r w:rsidR="001D6C75" w:rsidRPr="00D851D5">
        <w:rPr>
          <w:rFonts w:ascii="Arial" w:hAnsi="Arial" w:cs="Arial"/>
          <w:color w:val="000000" w:themeColor="text1"/>
          <w:sz w:val="24"/>
          <w:szCs w:val="24"/>
        </w:rPr>
        <w:t>):</w:t>
      </w:r>
      <w:r w:rsidR="001D6C75" w:rsidRPr="00D851D5">
        <w:rPr>
          <w:rFonts w:ascii="Arial" w:hAnsi="Arial" w:cs="Arial"/>
          <w:color w:val="000000" w:themeColor="text1"/>
        </w:rPr>
        <w:t xml:space="preserve"> The</w:t>
      </w:r>
      <w:r w:rsidRPr="00D851D5">
        <w:rPr>
          <w:rFonts w:ascii="Arial" w:hAnsi="Arial" w:cs="Arial"/>
          <w:color w:val="000000" w:themeColor="text1"/>
        </w:rPr>
        <w:t xml:space="preserve"> sum of mean squares (variance) is a measure of the average squared deviation of each data point from the mean of the data set</w:t>
      </w:r>
      <w:r>
        <w:rPr>
          <w:rFonts w:ascii="Arial" w:hAnsi="Arial" w:cs="Arial"/>
          <w:color w:val="000000" w:themeColor="text1"/>
        </w:rPr>
        <w:t>.</w:t>
      </w:r>
      <w:r w:rsidRPr="00D851D5">
        <w:rPr>
          <w:rFonts w:ascii="Arial" w:hAnsi="Arial" w:cs="Arial"/>
          <w:color w:val="000000" w:themeColor="text1"/>
        </w:rPr>
        <w:t xml:space="preserve"> It provides insight into the spread or dispersion of data points around the mean.</w:t>
      </w:r>
    </w:p>
    <w:p w14:paraId="0BC902EA" w14:textId="77EA474F" w:rsidR="00D851D5" w:rsidRPr="00D851D5" w:rsidRDefault="00D851D5" w:rsidP="00D851D5">
      <w:pPr>
        <w:pStyle w:val="ListParagraph"/>
        <w:ind w:left="1496"/>
        <w:rPr>
          <w:rFonts w:ascii="Arial" w:hAnsi="Arial" w:cs="Arial"/>
          <w:color w:val="000000" w:themeColor="text1"/>
        </w:rPr>
      </w:pPr>
      <w:r w:rsidRPr="00D851D5">
        <w:rPr>
          <w:rFonts w:ascii="Arial" w:hAnsi="Arial" w:cs="Arial"/>
          <w:color w:val="000000" w:themeColor="text1"/>
        </w:rPr>
        <w:t xml:space="preserve"> The formula for calculating the variance is as follows:</w:t>
      </w:r>
    </w:p>
    <w:p w14:paraId="39818275" w14:textId="207943C5" w:rsidR="00D851D5" w:rsidRPr="00D851D5" w:rsidRDefault="00D851D5" w:rsidP="00D851D5">
      <w:pPr>
        <w:pStyle w:val="ListParagraph"/>
        <w:rPr>
          <w:rFonts w:ascii="Arial" w:hAnsi="Arial" w:cs="Arial"/>
          <w:color w:val="000000" w:themeColor="text1"/>
        </w:rPr>
      </w:pPr>
      <w:r w:rsidRPr="00D851D5">
        <w:rPr>
          <w:rFonts w:ascii="Arial" w:hAnsi="Arial" w:cs="Arial"/>
          <w:color w:val="000000" w:themeColor="text1"/>
        </w:rPr>
        <w:t xml:space="preserve">     </w:t>
      </w:r>
      <w:r w:rsidR="003F1967">
        <w:rPr>
          <w:rFonts w:ascii="Arial" w:hAnsi="Arial" w:cs="Arial"/>
          <w:color w:val="000000" w:themeColor="text1"/>
        </w:rPr>
        <w:t xml:space="preserve">               </w:t>
      </w:r>
      <w:r w:rsidRPr="00D851D5">
        <w:rPr>
          <w:rFonts w:ascii="Arial" w:hAnsi="Arial" w:cs="Arial"/>
          <w:color w:val="000000" w:themeColor="text1"/>
        </w:rPr>
        <w:t xml:space="preserve">Variance (σ^2) = </w:t>
      </w:r>
      <w:r w:rsidR="001D6C75" w:rsidRPr="00D851D5">
        <w:rPr>
          <w:rFonts w:ascii="Arial" w:hAnsi="Arial" w:cs="Arial"/>
          <w:color w:val="000000" w:themeColor="text1"/>
        </w:rPr>
        <w:t>Σ (</w:t>
      </w:r>
      <w:r w:rsidRPr="00D851D5">
        <w:rPr>
          <w:rFonts w:ascii="Arial" w:hAnsi="Arial" w:cs="Arial"/>
          <w:color w:val="000000" w:themeColor="text1"/>
        </w:rPr>
        <w:t xml:space="preserve">xi - </w:t>
      </w:r>
      <w:r w:rsidR="001D6C75" w:rsidRPr="00D851D5">
        <w:rPr>
          <w:rFonts w:ascii="Arial" w:hAnsi="Arial" w:cs="Arial"/>
          <w:color w:val="000000" w:themeColor="text1"/>
        </w:rPr>
        <w:t>μ) ^</w:t>
      </w:r>
      <w:r w:rsidRPr="00D851D5">
        <w:rPr>
          <w:rFonts w:ascii="Arial" w:hAnsi="Arial" w:cs="Arial"/>
          <w:color w:val="000000" w:themeColor="text1"/>
        </w:rPr>
        <w:t>2 / N</w:t>
      </w:r>
    </w:p>
    <w:p w14:paraId="38769CDC" w14:textId="77777777" w:rsidR="00D851D5" w:rsidRPr="00D851D5" w:rsidRDefault="00D851D5" w:rsidP="00D851D5">
      <w:pPr>
        <w:pStyle w:val="ListParagraph"/>
        <w:rPr>
          <w:rFonts w:ascii="Arial" w:hAnsi="Arial" w:cs="Arial"/>
          <w:color w:val="000000" w:themeColor="text1"/>
        </w:rPr>
      </w:pPr>
      <w:r w:rsidRPr="00D851D5">
        <w:rPr>
          <w:rFonts w:ascii="Arial" w:hAnsi="Arial" w:cs="Arial"/>
          <w:color w:val="000000" w:themeColor="text1"/>
        </w:rPr>
        <w:t xml:space="preserve">     where:</w:t>
      </w:r>
    </w:p>
    <w:p w14:paraId="396C70B9" w14:textId="39BFB424" w:rsidR="00D851D5" w:rsidRPr="00D851D5" w:rsidRDefault="00D851D5" w:rsidP="00D851D5">
      <w:pPr>
        <w:pStyle w:val="ListParagraph"/>
        <w:rPr>
          <w:rFonts w:ascii="Arial" w:hAnsi="Arial" w:cs="Arial"/>
          <w:color w:val="000000" w:themeColor="text1"/>
        </w:rPr>
      </w:pPr>
      <w:r w:rsidRPr="00D851D5">
        <w:rPr>
          <w:rFonts w:ascii="Arial" w:hAnsi="Arial" w:cs="Arial"/>
          <w:color w:val="000000" w:themeColor="text1"/>
        </w:rPr>
        <w:t xml:space="preserve">    </w:t>
      </w:r>
      <w:r w:rsidR="003F1967">
        <w:rPr>
          <w:rFonts w:ascii="Arial" w:hAnsi="Arial" w:cs="Arial"/>
          <w:color w:val="000000" w:themeColor="text1"/>
        </w:rPr>
        <w:tab/>
      </w:r>
      <w:r w:rsidRPr="00D851D5">
        <w:rPr>
          <w:rFonts w:ascii="Arial" w:hAnsi="Arial" w:cs="Arial"/>
          <w:color w:val="000000" w:themeColor="text1"/>
        </w:rPr>
        <w:t xml:space="preserve"> - xi represents each data point.</w:t>
      </w:r>
    </w:p>
    <w:p w14:paraId="102D4A05" w14:textId="0A6EA0BF" w:rsidR="00D851D5" w:rsidRPr="00D851D5" w:rsidRDefault="00D851D5" w:rsidP="00D851D5">
      <w:pPr>
        <w:pStyle w:val="ListParagraph"/>
        <w:rPr>
          <w:rFonts w:ascii="Arial" w:hAnsi="Arial" w:cs="Arial"/>
          <w:color w:val="000000" w:themeColor="text1"/>
        </w:rPr>
      </w:pPr>
      <w:r w:rsidRPr="00D851D5">
        <w:rPr>
          <w:rFonts w:ascii="Arial" w:hAnsi="Arial" w:cs="Arial"/>
          <w:color w:val="000000" w:themeColor="text1"/>
        </w:rPr>
        <w:t xml:space="preserve">    </w:t>
      </w:r>
      <w:r w:rsidR="003F1967">
        <w:rPr>
          <w:rFonts w:ascii="Arial" w:hAnsi="Arial" w:cs="Arial"/>
          <w:color w:val="000000" w:themeColor="text1"/>
        </w:rPr>
        <w:tab/>
      </w:r>
      <w:r w:rsidRPr="00D851D5">
        <w:rPr>
          <w:rFonts w:ascii="Arial" w:hAnsi="Arial" w:cs="Arial"/>
          <w:color w:val="000000" w:themeColor="text1"/>
        </w:rPr>
        <w:t xml:space="preserve"> - μ is the mean of the data set.</w:t>
      </w:r>
    </w:p>
    <w:p w14:paraId="347D4901" w14:textId="511986CB" w:rsidR="00D851D5" w:rsidRPr="00D851D5" w:rsidRDefault="00D851D5" w:rsidP="00D851D5">
      <w:pPr>
        <w:pStyle w:val="ListParagraph"/>
        <w:rPr>
          <w:rFonts w:ascii="Arial" w:hAnsi="Arial" w:cs="Arial"/>
          <w:color w:val="000000" w:themeColor="text1"/>
        </w:rPr>
      </w:pPr>
      <w:r w:rsidRPr="00D851D5">
        <w:rPr>
          <w:rFonts w:ascii="Arial" w:hAnsi="Arial" w:cs="Arial"/>
          <w:color w:val="000000" w:themeColor="text1"/>
        </w:rPr>
        <w:t xml:space="preserve">     </w:t>
      </w:r>
      <w:r w:rsidR="003F1967">
        <w:rPr>
          <w:rFonts w:ascii="Arial" w:hAnsi="Arial" w:cs="Arial"/>
          <w:color w:val="000000" w:themeColor="text1"/>
        </w:rPr>
        <w:tab/>
      </w:r>
      <w:r w:rsidRPr="00D851D5">
        <w:rPr>
          <w:rFonts w:ascii="Arial" w:hAnsi="Arial" w:cs="Arial"/>
          <w:color w:val="000000" w:themeColor="text1"/>
        </w:rPr>
        <w:t>- N is the total number of data points.</w:t>
      </w:r>
    </w:p>
    <w:p w14:paraId="45668521" w14:textId="77777777" w:rsidR="00D851D5" w:rsidRPr="00D851D5" w:rsidRDefault="00D851D5" w:rsidP="00D851D5">
      <w:pPr>
        <w:pStyle w:val="ListParagraph"/>
        <w:rPr>
          <w:rFonts w:ascii="Arial" w:hAnsi="Arial" w:cs="Arial"/>
          <w:color w:val="000000" w:themeColor="text1"/>
        </w:rPr>
      </w:pPr>
    </w:p>
    <w:p w14:paraId="3066B903" w14:textId="090E0DB2" w:rsidR="001B43FC" w:rsidRPr="00D851D5" w:rsidRDefault="00D851D5" w:rsidP="00D851D5">
      <w:pPr>
        <w:pStyle w:val="ListParagraph"/>
        <w:rPr>
          <w:rFonts w:ascii="Arial" w:hAnsi="Arial" w:cs="Arial"/>
          <w:color w:val="000000" w:themeColor="text1"/>
          <w:sz w:val="20"/>
          <w:szCs w:val="20"/>
        </w:rPr>
      </w:pPr>
      <w:r w:rsidRPr="00D851D5">
        <w:rPr>
          <w:rFonts w:ascii="Arial" w:hAnsi="Arial" w:cs="Arial"/>
          <w:color w:val="000000" w:themeColor="text1"/>
        </w:rPr>
        <w:t>These two measures help data analysts assess the variability and distribution of data, which can be crucial for making informed decisions and drawing meaningful insights from data sets.</w:t>
      </w:r>
    </w:p>
    <w:p w14:paraId="0E950B40" w14:textId="2DD53513" w:rsidR="001B43FC" w:rsidRPr="00470E9C" w:rsidRDefault="001B43FC" w:rsidP="001B43FC">
      <w:pPr>
        <w:pStyle w:val="ListParagraph"/>
        <w:rPr>
          <w:rFonts w:ascii="Arial" w:hAnsi="Arial" w:cs="Arial"/>
          <w:color w:val="000000" w:themeColor="text1"/>
          <w:sz w:val="20"/>
          <w:szCs w:val="20"/>
        </w:rPr>
      </w:pPr>
    </w:p>
    <w:p w14:paraId="2CE665A9" w14:textId="1592B940" w:rsidR="00470E9C" w:rsidRDefault="00470E9C" w:rsidP="00470E9C">
      <w:pPr>
        <w:rPr>
          <w:rFonts w:ascii="Arial" w:hAnsi="Arial" w:cs="Arial"/>
          <w:color w:val="000000" w:themeColor="text1"/>
          <w:sz w:val="20"/>
          <w:szCs w:val="20"/>
        </w:rPr>
      </w:pPr>
      <w:r>
        <w:rPr>
          <w:rFonts w:ascii="Arial" w:hAnsi="Arial" w:cs="Arial"/>
          <w:color w:val="000000" w:themeColor="text1"/>
          <w:sz w:val="20"/>
          <w:szCs w:val="20"/>
        </w:rPr>
        <w:t xml:space="preserve">RESULT </w:t>
      </w:r>
    </w:p>
    <w:p w14:paraId="7C83B490" w14:textId="6DDAAB0A" w:rsidR="00E2426A" w:rsidRDefault="00470E9C" w:rsidP="00E2426A">
      <w:pPr>
        <w:pStyle w:val="ListParagraph"/>
        <w:rPr>
          <w:shd w:val="clear" w:color="auto" w:fill="FFFFFF"/>
        </w:rPr>
      </w:pPr>
      <w:r>
        <w:rPr>
          <w:shd w:val="clear" w:color="auto" w:fill="FFFFFF"/>
        </w:rPr>
        <w:t xml:space="preserve">Dataset Link: </w:t>
      </w:r>
      <w:hyperlink r:id="rId12" w:history="1">
        <w:r w:rsidRPr="000C49BA">
          <w:rPr>
            <w:rStyle w:val="Hyperlink"/>
            <w:shd w:val="clear" w:color="auto" w:fill="FFFFFF"/>
          </w:rPr>
          <w:t>https://www.kaggle.com/datasets/chakradharmattapalli/covid-19-cases</w:t>
        </w:r>
      </w:hyperlink>
    </w:p>
    <w:p w14:paraId="262358A8" w14:textId="77777777" w:rsidR="00470E9C" w:rsidRDefault="00470E9C" w:rsidP="00E2426A">
      <w:pPr>
        <w:pStyle w:val="ListParagraph"/>
        <w:rPr>
          <w:shd w:val="clear" w:color="auto" w:fill="FFFFFF"/>
        </w:rPr>
      </w:pPr>
    </w:p>
    <w:p w14:paraId="5EBAE81A" w14:textId="3B9BF877" w:rsidR="007B39FC" w:rsidRDefault="002369E1" w:rsidP="00E2426A">
      <w:pPr>
        <w:pStyle w:val="ListParagraph"/>
        <w:rPr>
          <w:shd w:val="clear" w:color="auto" w:fill="FFFFFF"/>
        </w:rPr>
      </w:pPr>
      <w:r>
        <w:rPr>
          <w:noProof/>
          <w:shd w:val="clear" w:color="auto" w:fill="FFFFFF"/>
        </w:rPr>
        <w:drawing>
          <wp:inline distT="0" distB="0" distL="0" distR="0" wp14:anchorId="12AC13B6" wp14:editId="120742D7">
            <wp:extent cx="4584700" cy="2755900"/>
            <wp:effectExtent l="0" t="0" r="6350" b="6350"/>
            <wp:docPr id="41593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083129C" w14:textId="77777777" w:rsidR="002369E1" w:rsidRDefault="002369E1" w:rsidP="00E2426A">
      <w:pPr>
        <w:pStyle w:val="ListParagraph"/>
        <w:rPr>
          <w:shd w:val="clear" w:color="auto" w:fill="FFFFFF"/>
        </w:rPr>
      </w:pPr>
    </w:p>
    <w:p w14:paraId="6486F5FD" w14:textId="0ED0E887" w:rsidR="002369E1" w:rsidRDefault="002369E1" w:rsidP="00E2426A">
      <w:pPr>
        <w:pStyle w:val="ListParagraph"/>
        <w:rPr>
          <w:shd w:val="clear" w:color="auto" w:fill="FFFFFF"/>
        </w:rPr>
      </w:pPr>
      <w:r>
        <w:rPr>
          <w:shd w:val="clear" w:color="auto" w:fill="FFFFFF"/>
        </w:rPr>
        <w:t>In this Bar graph, we can observe the Snapshot of covid -19 cases in different regions using Cognos.</w:t>
      </w:r>
      <w:r w:rsidR="003D524E" w:rsidRPr="003D524E">
        <w:t xml:space="preserve"> </w:t>
      </w:r>
      <w:r w:rsidR="003D524E" w:rsidRPr="003D524E">
        <w:rPr>
          <w:shd w:val="clear" w:color="auto" w:fill="FFFFFF"/>
        </w:rPr>
        <w:t>IBMers who are bringing change into the world helping cure diseases, clean our oceans and make technology work for good</w:t>
      </w:r>
      <w:r w:rsidR="003D524E">
        <w:rPr>
          <w:shd w:val="clear" w:color="auto" w:fill="FFFFFF"/>
        </w:rPr>
        <w:t>.</w:t>
      </w:r>
      <w:r w:rsidR="003D524E" w:rsidRPr="003D524E">
        <w:t xml:space="preserve"> </w:t>
      </w:r>
      <w:r w:rsidR="003D524E" w:rsidRPr="003D524E">
        <w:rPr>
          <w:shd w:val="clear" w:color="auto" w:fill="FFFFFF"/>
        </w:rPr>
        <w:t>Our people are what make us unique. Every individual from around the world with a quest for knowledge has a voice to add to our story</w:t>
      </w:r>
      <w:r w:rsidR="003D524E">
        <w:rPr>
          <w:shd w:val="clear" w:color="auto" w:fill="FFFFFF"/>
        </w:rPr>
        <w:t>.</w:t>
      </w:r>
    </w:p>
    <w:p w14:paraId="374E7C19" w14:textId="77777777" w:rsidR="003F1967" w:rsidRDefault="003F1967" w:rsidP="00E2426A">
      <w:pPr>
        <w:pStyle w:val="ListParagraph"/>
        <w:rPr>
          <w:shd w:val="clear" w:color="auto" w:fill="FFFFFF"/>
        </w:rPr>
      </w:pPr>
    </w:p>
    <w:p w14:paraId="492C40D2" w14:textId="36CE5814" w:rsidR="003F1967" w:rsidRDefault="003F1967" w:rsidP="00E2426A">
      <w:pPr>
        <w:pStyle w:val="ListParagraph"/>
        <w:rPr>
          <w:shd w:val="clear" w:color="auto" w:fill="FFFFFF"/>
        </w:rPr>
      </w:pPr>
      <w:r w:rsidRPr="003F1967">
        <w:rPr>
          <w:sz w:val="28"/>
          <w:szCs w:val="28"/>
          <w:shd w:val="clear" w:color="auto" w:fill="FFFFFF"/>
        </w:rPr>
        <w:t>CONCLUSION</w:t>
      </w:r>
    </w:p>
    <w:p w14:paraId="4334499E" w14:textId="77777777" w:rsidR="003F1967" w:rsidRDefault="003F1967" w:rsidP="00E2426A">
      <w:pPr>
        <w:pStyle w:val="ListParagraph"/>
        <w:rPr>
          <w:shd w:val="clear" w:color="auto" w:fill="FFFFFF"/>
        </w:rPr>
      </w:pPr>
    </w:p>
    <w:p w14:paraId="4F435EA8" w14:textId="5E8043F1" w:rsidR="003F1967" w:rsidRPr="00E2426A" w:rsidRDefault="003F1967" w:rsidP="00E2426A">
      <w:pPr>
        <w:pStyle w:val="ListParagraph"/>
        <w:rPr>
          <w:shd w:val="clear" w:color="auto" w:fill="FFFFFF"/>
        </w:rPr>
      </w:pPr>
      <w:r w:rsidRPr="003F1967">
        <w:rPr>
          <w:shd w:val="clear" w:color="auto" w:fill="FFFFFF"/>
        </w:rPr>
        <w:t xml:space="preserve">COVID-19 pandemic has profoundly impacted the world in unprecedented ways. Through rigorous scientific research, global collaboration, and widespread vaccination efforts, we have made significant strides in understanding and mitigating the virus's effects. While challenges remain, our collective resilience and commitment to public health have shown that humanity can overcome even the most daunting crises. </w:t>
      </w:r>
      <w:r>
        <w:rPr>
          <w:shd w:val="clear" w:color="auto" w:fill="FFFFFF"/>
        </w:rPr>
        <w:t>I</w:t>
      </w:r>
      <w:r w:rsidRPr="003F1967">
        <w:rPr>
          <w:shd w:val="clear" w:color="auto" w:fill="FFFFFF"/>
        </w:rPr>
        <w:t>t is crucial to continue monitoring the situation, adapting our strategies, and maintaining the spirit of cooperation that has brought us this far. Together, we can work towards a healthier and more resilient future</w:t>
      </w:r>
      <w:r>
        <w:rPr>
          <w:shd w:val="clear" w:color="auto" w:fill="FFFFFF"/>
        </w:rPr>
        <w:t>.</w:t>
      </w:r>
    </w:p>
    <w:sectPr w:rsidR="003F1967" w:rsidRPr="00E2426A" w:rsidSect="008D6C8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5A5"/>
    <w:multiLevelType w:val="hybridMultilevel"/>
    <w:tmpl w:val="EDAA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279CA"/>
    <w:multiLevelType w:val="hybridMultilevel"/>
    <w:tmpl w:val="2318D316"/>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 w15:restartNumberingAfterBreak="0">
    <w:nsid w:val="702A55D6"/>
    <w:multiLevelType w:val="multilevel"/>
    <w:tmpl w:val="6DBC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653361">
    <w:abstractNumId w:val="0"/>
  </w:num>
  <w:num w:numId="2" w16cid:durableId="1580825247">
    <w:abstractNumId w:val="2"/>
  </w:num>
  <w:num w:numId="3" w16cid:durableId="22256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9B"/>
    <w:rsid w:val="001B43FC"/>
    <w:rsid w:val="001D6C75"/>
    <w:rsid w:val="002369E1"/>
    <w:rsid w:val="003A103E"/>
    <w:rsid w:val="003D524E"/>
    <w:rsid w:val="003F1967"/>
    <w:rsid w:val="00435658"/>
    <w:rsid w:val="00456FE7"/>
    <w:rsid w:val="00470E9C"/>
    <w:rsid w:val="0069298F"/>
    <w:rsid w:val="007B39FC"/>
    <w:rsid w:val="008D6C8A"/>
    <w:rsid w:val="00D26903"/>
    <w:rsid w:val="00D67624"/>
    <w:rsid w:val="00D851D5"/>
    <w:rsid w:val="00E2426A"/>
    <w:rsid w:val="00EE299B"/>
    <w:rsid w:val="00F605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F46B"/>
  <w15:chartTrackingRefBased/>
  <w15:docId w15:val="{28237EDD-0879-40EB-B233-CE560052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C8A"/>
    <w:rPr>
      <w:color w:val="0000FF"/>
      <w:u w:val="single"/>
    </w:rPr>
  </w:style>
  <w:style w:type="paragraph" w:styleId="NormalWeb">
    <w:name w:val="Normal (Web)"/>
    <w:basedOn w:val="Normal"/>
    <w:uiPriority w:val="99"/>
    <w:semiHidden/>
    <w:unhideWhenUsed/>
    <w:rsid w:val="004356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5658"/>
    <w:rPr>
      <w:b/>
      <w:bCs/>
    </w:rPr>
  </w:style>
  <w:style w:type="character" w:styleId="FollowedHyperlink">
    <w:name w:val="FollowedHyperlink"/>
    <w:basedOn w:val="DefaultParagraphFont"/>
    <w:uiPriority w:val="99"/>
    <w:semiHidden/>
    <w:unhideWhenUsed/>
    <w:rsid w:val="00435658"/>
    <w:rPr>
      <w:color w:val="954F72" w:themeColor="followedHyperlink"/>
      <w:u w:val="single"/>
    </w:rPr>
  </w:style>
  <w:style w:type="paragraph" w:styleId="ListParagraph">
    <w:name w:val="List Paragraph"/>
    <w:basedOn w:val="Normal"/>
    <w:uiPriority w:val="34"/>
    <w:qFormat/>
    <w:rsid w:val="00E2426A"/>
    <w:pPr>
      <w:ind w:left="720"/>
      <w:contextualSpacing/>
    </w:pPr>
  </w:style>
  <w:style w:type="character" w:styleId="UnresolvedMention">
    <w:name w:val="Unresolved Mention"/>
    <w:basedOn w:val="DefaultParagraphFont"/>
    <w:uiPriority w:val="99"/>
    <w:semiHidden/>
    <w:unhideWhenUsed/>
    <w:rsid w:val="00470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5022">
      <w:bodyDiv w:val="1"/>
      <w:marLeft w:val="0"/>
      <w:marRight w:val="0"/>
      <w:marTop w:val="0"/>
      <w:marBottom w:val="0"/>
      <w:divBdr>
        <w:top w:val="none" w:sz="0" w:space="0" w:color="auto"/>
        <w:left w:val="none" w:sz="0" w:space="0" w:color="auto"/>
        <w:bottom w:val="none" w:sz="0" w:space="0" w:color="auto"/>
        <w:right w:val="none" w:sz="0" w:space="0" w:color="auto"/>
      </w:divBdr>
      <w:divsChild>
        <w:div w:id="2029019001">
          <w:marLeft w:val="0"/>
          <w:marRight w:val="0"/>
          <w:marTop w:val="0"/>
          <w:marBottom w:val="0"/>
          <w:divBdr>
            <w:top w:val="none" w:sz="0" w:space="0" w:color="auto"/>
            <w:left w:val="none" w:sz="0" w:space="0" w:color="auto"/>
            <w:bottom w:val="none" w:sz="0" w:space="0" w:color="auto"/>
            <w:right w:val="none" w:sz="0" w:space="0" w:color="auto"/>
          </w:divBdr>
          <w:divsChild>
            <w:div w:id="1080785451">
              <w:marLeft w:val="0"/>
              <w:marRight w:val="0"/>
              <w:marTop w:val="0"/>
              <w:marBottom w:val="0"/>
              <w:divBdr>
                <w:top w:val="none" w:sz="0" w:space="0" w:color="auto"/>
                <w:left w:val="none" w:sz="0" w:space="0" w:color="auto"/>
                <w:bottom w:val="none" w:sz="0" w:space="0" w:color="auto"/>
                <w:right w:val="none" w:sz="0" w:space="0" w:color="auto"/>
              </w:divBdr>
              <w:divsChild>
                <w:div w:id="5309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2343">
      <w:bodyDiv w:val="1"/>
      <w:marLeft w:val="0"/>
      <w:marRight w:val="0"/>
      <w:marTop w:val="0"/>
      <w:marBottom w:val="0"/>
      <w:divBdr>
        <w:top w:val="none" w:sz="0" w:space="0" w:color="auto"/>
        <w:left w:val="none" w:sz="0" w:space="0" w:color="auto"/>
        <w:bottom w:val="none" w:sz="0" w:space="0" w:color="auto"/>
        <w:right w:val="none" w:sz="0" w:space="0" w:color="auto"/>
      </w:divBdr>
      <w:divsChild>
        <w:div w:id="2014335894">
          <w:marLeft w:val="0"/>
          <w:marRight w:val="0"/>
          <w:marTop w:val="0"/>
          <w:marBottom w:val="0"/>
          <w:divBdr>
            <w:top w:val="none" w:sz="0" w:space="0" w:color="auto"/>
            <w:left w:val="none" w:sz="0" w:space="0" w:color="auto"/>
            <w:bottom w:val="none" w:sz="0" w:space="0" w:color="auto"/>
            <w:right w:val="none" w:sz="0" w:space="0" w:color="auto"/>
          </w:divBdr>
          <w:divsChild>
            <w:div w:id="2031947523">
              <w:marLeft w:val="0"/>
              <w:marRight w:val="0"/>
              <w:marTop w:val="0"/>
              <w:marBottom w:val="0"/>
              <w:divBdr>
                <w:top w:val="none" w:sz="0" w:space="0" w:color="auto"/>
                <w:left w:val="none" w:sz="0" w:space="0" w:color="auto"/>
                <w:bottom w:val="none" w:sz="0" w:space="0" w:color="auto"/>
                <w:right w:val="none" w:sz="0" w:space="0" w:color="auto"/>
              </w:divBdr>
              <w:divsChild>
                <w:div w:id="18980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o.com/learn/article/data-integration-in-business-intelligenc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omo.com/learn/article/data-integration-in-business-intelligence" TargetMode="External"/><Relationship Id="rId12" Type="http://schemas.openxmlformats.org/officeDocument/2006/relationships/hyperlink" Target="https://www.kaggle.com/datasets/chakradharmattapalli/covid-19-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g/creating-trusted-covid-19-data-for-communities/" TargetMode="External"/><Relationship Id="rId11" Type="http://schemas.openxmlformats.org/officeDocument/2006/relationships/hyperlink" Target="https://mediacenter.ibm.com/media/IBM+Cognos+Analytics+with+Watson+-+How+to+share+dashboard+content/1_bib2p456" TargetMode="External"/><Relationship Id="rId5" Type="http://schemas.openxmlformats.org/officeDocument/2006/relationships/hyperlink" Target="https://www.ibm.com/blog/creating-trusted-covid-19-data-for-communities/" TargetMode="External"/><Relationship Id="rId15" Type="http://schemas.openxmlformats.org/officeDocument/2006/relationships/theme" Target="theme/theme1.xml"/><Relationship Id="rId10" Type="http://schemas.openxmlformats.org/officeDocument/2006/relationships/hyperlink" Target="https://www.ibm.com/docs/en/cognos-analytics/12.0.0?topic=assistant-share-narrative-insights-from" TargetMode="External"/><Relationship Id="rId4" Type="http://schemas.openxmlformats.org/officeDocument/2006/relationships/webSettings" Target="webSettings.xml"/><Relationship Id="rId9" Type="http://schemas.openxmlformats.org/officeDocument/2006/relationships/hyperlink" Target="https://www.ibm.com/docs/en/cognos-analytics/12.0.0?topic=assistant-share-narrative-insights-fr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sonabanu24@gmail.com</dc:creator>
  <cp:keywords/>
  <dc:description/>
  <cp:lastModifiedBy>sonabanu24@gmail.com</cp:lastModifiedBy>
  <cp:revision>3</cp:revision>
  <dcterms:created xsi:type="dcterms:W3CDTF">2023-10-04T05:08:00Z</dcterms:created>
  <dcterms:modified xsi:type="dcterms:W3CDTF">2023-10-04T08:41:00Z</dcterms:modified>
</cp:coreProperties>
</file>