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F4B90" w14:textId="16C0CFBE" w:rsidR="00683EA7" w:rsidRDefault="00683EA7" w:rsidP="00683EA7">
      <w:pPr>
        <w:spacing w:line="360" w:lineRule="auto"/>
        <w:jc w:val="both"/>
        <w:rPr>
          <w:rFonts w:ascii="Georgia" w:hAnsi="Georgia"/>
          <w:sz w:val="28"/>
        </w:rPr>
      </w:pPr>
      <w:r>
        <w:rPr>
          <w:rFonts w:ascii="Georgia" w:hAnsi="Georgia"/>
          <w:sz w:val="28"/>
        </w:rPr>
        <w:t>Research Nester’s recent market research analysis on “</w:t>
      </w:r>
      <w:hyperlink r:id="rId4" w:history="1">
        <w:r w:rsidRPr="00683EA7">
          <w:rPr>
            <w:rStyle w:val="Hyperlink"/>
            <w:rFonts w:ascii="Georgia" w:hAnsi="Georgia"/>
            <w:b/>
            <w:sz w:val="28"/>
          </w:rPr>
          <w:t>Transthyretin Stabilizers Market</w:t>
        </w:r>
      </w:hyperlink>
      <w:r>
        <w:rPr>
          <w:rFonts w:ascii="Georgia" w:hAnsi="Georgia"/>
          <w:b/>
          <w:sz w:val="28"/>
        </w:rPr>
        <w:t>: Global Demand Analysis &amp; Opportunity Outlook 2036</w:t>
      </w:r>
      <w:r>
        <w:rPr>
          <w:rFonts w:ascii="Georgia" w:hAnsi="Georgia"/>
          <w:sz w:val="28"/>
        </w:rPr>
        <w:t xml:space="preserve">” delivers a detailed competitors analysis and a detailed overview of the global transthyretin stabilizers market in terms of market segmentation by type, end user, and by region. </w:t>
      </w:r>
    </w:p>
    <w:p w14:paraId="3DC2C667" w14:textId="77777777" w:rsidR="00683EA7" w:rsidRDefault="00683EA7" w:rsidP="00683EA7">
      <w:pPr>
        <w:spacing w:line="360" w:lineRule="auto"/>
        <w:jc w:val="both"/>
        <w:rPr>
          <w:rFonts w:ascii="Georgia" w:hAnsi="Georgia"/>
          <w:sz w:val="28"/>
        </w:rPr>
      </w:pPr>
    </w:p>
    <w:p w14:paraId="74423741" w14:textId="77777777" w:rsidR="00683EA7" w:rsidRDefault="00683EA7" w:rsidP="00683EA7">
      <w:pPr>
        <w:spacing w:line="360" w:lineRule="auto"/>
        <w:jc w:val="both"/>
        <w:rPr>
          <w:rFonts w:ascii="Georgia" w:hAnsi="Georgia"/>
          <w:b/>
          <w:i/>
          <w:sz w:val="28"/>
        </w:rPr>
      </w:pPr>
      <w:r>
        <w:rPr>
          <w:rFonts w:ascii="Georgia" w:hAnsi="Georgia"/>
          <w:b/>
          <w:i/>
          <w:sz w:val="28"/>
        </w:rPr>
        <w:t>Advancements in Diagnostic Technologies to Promote Global Market Share of Transthyretin Stabilizers</w:t>
      </w:r>
    </w:p>
    <w:p w14:paraId="2B4EB0A6" w14:textId="77777777" w:rsidR="00683EA7" w:rsidRDefault="00683EA7" w:rsidP="00683EA7">
      <w:pPr>
        <w:spacing w:line="360" w:lineRule="auto"/>
        <w:jc w:val="both"/>
        <w:rPr>
          <w:rFonts w:ascii="Georgia" w:hAnsi="Georgia"/>
          <w:sz w:val="28"/>
          <w:szCs w:val="28"/>
        </w:rPr>
      </w:pPr>
      <w:r>
        <w:rPr>
          <w:rFonts w:ascii="Georgia" w:hAnsi="Georgia"/>
          <w:sz w:val="28"/>
          <w:szCs w:val="28"/>
        </w:rPr>
        <w:t>Technological advancements in diagnostic tools have revolutionized the detection and differentiation of ATTR. Genetic testing and advanced imaging modalities allow for more precise and early diagnosis, driving the demand for targeted therapeutic solutions. A study reported a 30% increase in the accuracy of ATTR diagnosis with the adoption of next-generation sequencing techniques compared to traditional methods. This emphasizes the pivotal role of diagnostic advancements in fueling the transthyretin stabilizers market.</w:t>
      </w:r>
    </w:p>
    <w:p w14:paraId="2B09CB32" w14:textId="77777777" w:rsidR="00683EA7" w:rsidRDefault="00683EA7" w:rsidP="00683EA7">
      <w:pPr>
        <w:pStyle w:val="NormalWeb"/>
        <w:spacing w:before="0" w:beforeAutospacing="0" w:after="0" w:afterAutospacing="0"/>
        <w:rPr>
          <w:rFonts w:ascii="Segoe UI" w:hAnsi="Segoe UI" w:cs="Segoe UI"/>
          <w:sz w:val="21"/>
          <w:szCs w:val="21"/>
        </w:rPr>
      </w:pPr>
      <w:bookmarkStart w:id="0" w:name="_Hlk153828431"/>
      <w:r>
        <w:rPr>
          <w:rFonts w:ascii="Segoe UI" w:hAnsi="Segoe UI" w:cs="Segoe UI"/>
          <w:sz w:val="21"/>
          <w:szCs w:val="21"/>
        </w:rPr>
        <w:t>[10:26 AM] Nita Sonwane</w:t>
      </w:r>
    </w:p>
    <w:p w14:paraId="31C51A3A" w14:textId="77777777" w:rsidR="00683EA7" w:rsidRDefault="00683EA7" w:rsidP="00683EA7">
      <w:pPr>
        <w:pStyle w:val="NormalWeb"/>
        <w:rPr>
          <w:rFonts w:ascii="Segoe UI" w:hAnsi="Segoe UI" w:cs="Segoe UI"/>
          <w:sz w:val="21"/>
          <w:szCs w:val="21"/>
        </w:rPr>
      </w:pPr>
      <w:r>
        <w:rPr>
          <w:rStyle w:val="Strong"/>
          <w:rFonts w:ascii="Segoe UI" w:hAnsi="Segoe UI" w:cs="Segoe UI"/>
          <w:sz w:val="21"/>
          <w:szCs w:val="21"/>
        </w:rPr>
        <w:t>Request Free Sample Copy of this Report @  </w:t>
      </w:r>
    </w:p>
    <w:p w14:paraId="16C45DFD" w14:textId="6349148F" w:rsidR="00683EA7" w:rsidRDefault="00683EA7" w:rsidP="00683EA7">
      <w:pPr>
        <w:spacing w:line="360" w:lineRule="auto"/>
        <w:jc w:val="both"/>
        <w:rPr>
          <w:rFonts w:ascii="Georgia" w:hAnsi="Georgia"/>
          <w:iCs/>
          <w:sz w:val="28"/>
          <w:szCs w:val="28"/>
        </w:rPr>
      </w:pPr>
      <w:hyperlink r:id="rId5" w:history="1">
        <w:r w:rsidRPr="00FB3F8B">
          <w:rPr>
            <w:rStyle w:val="Hyperlink"/>
            <w:rFonts w:ascii="Georgia" w:hAnsi="Georgia"/>
            <w:iCs/>
            <w:sz w:val="28"/>
            <w:szCs w:val="28"/>
          </w:rPr>
          <w:t>https://www.researchnester.com/sample-request-5491</w:t>
        </w:r>
      </w:hyperlink>
      <w:r>
        <w:rPr>
          <w:rFonts w:ascii="Georgia" w:hAnsi="Georgia"/>
          <w:iCs/>
          <w:sz w:val="28"/>
          <w:szCs w:val="28"/>
        </w:rPr>
        <w:t xml:space="preserve">  </w:t>
      </w:r>
    </w:p>
    <w:p w14:paraId="04DBA9D9" w14:textId="3A9239E8" w:rsidR="00683EA7" w:rsidRDefault="00683EA7" w:rsidP="00683EA7">
      <w:pPr>
        <w:spacing w:line="360" w:lineRule="auto"/>
        <w:jc w:val="both"/>
        <w:rPr>
          <w:rFonts w:ascii="Georgia" w:hAnsi="Georgia"/>
          <w:iCs/>
          <w:sz w:val="28"/>
          <w:szCs w:val="28"/>
        </w:rPr>
      </w:pPr>
      <w:r>
        <w:rPr>
          <w:rFonts w:ascii="Georgia" w:hAnsi="Georgia"/>
          <w:iCs/>
          <w:sz w:val="28"/>
          <w:szCs w:val="28"/>
        </w:rPr>
        <w:t xml:space="preserve">Some of the major growth factors and challenges that are associated with the growth of the </w:t>
      </w:r>
      <w:r>
        <w:rPr>
          <w:rFonts w:ascii="Georgia" w:hAnsi="Georgia"/>
          <w:iCs/>
          <w:color w:val="000000" w:themeColor="text1"/>
          <w:sz w:val="28"/>
          <w:szCs w:val="28"/>
        </w:rPr>
        <w:t xml:space="preserve">global </w:t>
      </w:r>
      <w:r>
        <w:rPr>
          <w:rFonts w:ascii="Georgia" w:hAnsi="Georgia"/>
          <w:sz w:val="28"/>
        </w:rPr>
        <w:t>transthyretin stabilizers</w:t>
      </w:r>
      <w:r>
        <w:rPr>
          <w:rFonts w:ascii="Georgia" w:hAnsi="Georgia"/>
          <w:iCs/>
          <w:color w:val="000000" w:themeColor="text1"/>
          <w:sz w:val="28"/>
          <w:szCs w:val="28"/>
        </w:rPr>
        <w:t xml:space="preserve"> market </w:t>
      </w:r>
      <w:r>
        <w:rPr>
          <w:rFonts w:ascii="Georgia" w:hAnsi="Georgia"/>
          <w:iCs/>
          <w:sz w:val="28"/>
          <w:szCs w:val="28"/>
        </w:rPr>
        <w:t>are:</w:t>
      </w:r>
    </w:p>
    <w:p w14:paraId="7A0F9FA1" w14:textId="77777777" w:rsidR="00683EA7" w:rsidRDefault="00683EA7" w:rsidP="00683EA7">
      <w:pPr>
        <w:spacing w:line="360" w:lineRule="auto"/>
        <w:jc w:val="both"/>
        <w:rPr>
          <w:rFonts w:ascii="Georgia" w:hAnsi="Georgia"/>
          <w:b/>
          <w:i/>
          <w:iCs/>
          <w:sz w:val="28"/>
          <w:szCs w:val="28"/>
        </w:rPr>
      </w:pPr>
      <w:r>
        <w:rPr>
          <w:rFonts w:ascii="Georgia" w:hAnsi="Georgia"/>
          <w:b/>
          <w:i/>
          <w:iCs/>
          <w:sz w:val="28"/>
          <w:szCs w:val="28"/>
        </w:rPr>
        <w:t>Growth Drivers:</w:t>
      </w:r>
    </w:p>
    <w:p w14:paraId="446BCD5D" w14:textId="77777777" w:rsidR="00683EA7" w:rsidRDefault="00683EA7" w:rsidP="00683EA7">
      <w:pPr>
        <w:spacing w:line="360" w:lineRule="auto"/>
        <w:jc w:val="both"/>
        <w:rPr>
          <w:rFonts w:ascii="Georgia" w:hAnsi="Georgia"/>
          <w:i/>
          <w:iCs/>
          <w:sz w:val="28"/>
          <w:szCs w:val="28"/>
        </w:rPr>
      </w:pPr>
      <w:r>
        <w:rPr>
          <w:rFonts w:ascii="Georgia" w:hAnsi="Georgia"/>
          <w:i/>
          <w:iCs/>
          <w:sz w:val="28"/>
          <w:szCs w:val="28"/>
        </w:rPr>
        <w:t>•</w:t>
      </w:r>
      <w:r>
        <w:rPr>
          <w:rFonts w:ascii="Georgia" w:hAnsi="Georgia"/>
          <w:i/>
          <w:iCs/>
          <w:sz w:val="28"/>
          <w:szCs w:val="28"/>
        </w:rPr>
        <w:tab/>
        <w:t>Increasing Disease Awareness</w:t>
      </w:r>
    </w:p>
    <w:p w14:paraId="76B23595" w14:textId="77777777" w:rsidR="00683EA7" w:rsidRDefault="00683EA7" w:rsidP="00683EA7">
      <w:pPr>
        <w:spacing w:line="360" w:lineRule="auto"/>
        <w:jc w:val="both"/>
        <w:rPr>
          <w:rFonts w:ascii="Georgia" w:hAnsi="Georgia"/>
          <w:i/>
          <w:iCs/>
          <w:sz w:val="28"/>
          <w:szCs w:val="28"/>
        </w:rPr>
      </w:pPr>
      <w:r>
        <w:rPr>
          <w:rFonts w:ascii="Georgia" w:hAnsi="Georgia"/>
          <w:i/>
          <w:iCs/>
          <w:sz w:val="28"/>
          <w:szCs w:val="28"/>
        </w:rPr>
        <w:t>•</w:t>
      </w:r>
      <w:r>
        <w:rPr>
          <w:rFonts w:ascii="Georgia" w:hAnsi="Georgia"/>
          <w:i/>
          <w:iCs/>
          <w:sz w:val="28"/>
          <w:szCs w:val="28"/>
        </w:rPr>
        <w:tab/>
        <w:t>Growing Expansion of Healthcare Infrastructure</w:t>
      </w:r>
    </w:p>
    <w:p w14:paraId="2DBE9C4D" w14:textId="77777777" w:rsidR="00683EA7" w:rsidRDefault="00683EA7" w:rsidP="00683EA7">
      <w:pPr>
        <w:spacing w:line="360" w:lineRule="auto"/>
        <w:jc w:val="both"/>
        <w:rPr>
          <w:rFonts w:ascii="Georgia" w:hAnsi="Georgia"/>
          <w:b/>
          <w:i/>
          <w:iCs/>
          <w:sz w:val="28"/>
          <w:szCs w:val="28"/>
        </w:rPr>
      </w:pPr>
      <w:r>
        <w:rPr>
          <w:rFonts w:ascii="Georgia" w:hAnsi="Georgia"/>
          <w:b/>
          <w:i/>
          <w:iCs/>
          <w:sz w:val="28"/>
          <w:szCs w:val="28"/>
        </w:rPr>
        <w:lastRenderedPageBreak/>
        <w:t>Challenges:</w:t>
      </w:r>
    </w:p>
    <w:bookmarkEnd w:id="0"/>
    <w:p w14:paraId="047F0387" w14:textId="77777777" w:rsidR="00683EA7" w:rsidRDefault="00683EA7" w:rsidP="00683EA7">
      <w:pPr>
        <w:spacing w:line="360" w:lineRule="auto"/>
        <w:jc w:val="both"/>
        <w:rPr>
          <w:rFonts w:ascii="Georgia" w:hAnsi="Georgia"/>
          <w:sz w:val="28"/>
          <w:szCs w:val="28"/>
        </w:rPr>
      </w:pPr>
      <w:r>
        <w:rPr>
          <w:rFonts w:ascii="Georgia" w:hAnsi="Georgia"/>
          <w:sz w:val="28"/>
          <w:szCs w:val="28"/>
        </w:rPr>
        <w:t>Navigating the regulatory landscape for orphan diseases, such as transthyretin amyloidosis, poses challenges for drug developers. Obtaining regulatory approvals involves meeting stringent criteria and addressing complex endpoints due to the rarity and heterogeneity of the disease. Delays in regulatory approvals can impede the timely market entry of transthyretin stabilizers, affecting patient access and potentially limiting commercial success.</w:t>
      </w:r>
    </w:p>
    <w:p w14:paraId="04777BEA" w14:textId="615A220B" w:rsidR="00683EA7" w:rsidRDefault="00683EA7" w:rsidP="00683EA7">
      <w:pPr>
        <w:spacing w:line="360" w:lineRule="auto"/>
        <w:jc w:val="both"/>
        <w:rPr>
          <w:rFonts w:ascii="Georgia" w:hAnsi="Georgia"/>
          <w:sz w:val="28"/>
        </w:rPr>
      </w:pPr>
      <w:bookmarkStart w:id="1" w:name="_Hlk147244479"/>
      <w:bookmarkStart w:id="2" w:name="_Hlk153828483"/>
      <w:r>
        <w:rPr>
          <w:rFonts w:ascii="Georgia" w:hAnsi="Georgia"/>
          <w:sz w:val="28"/>
        </w:rPr>
        <w:t xml:space="preserve">The </w:t>
      </w:r>
      <w:proofErr w:type="spellStart"/>
      <w:r>
        <w:rPr>
          <w:rFonts w:ascii="Georgia" w:hAnsi="Georgia"/>
          <w:color w:val="000000" w:themeColor="text1"/>
          <w:sz w:val="28"/>
          <w:szCs w:val="28"/>
        </w:rPr>
        <w:t>inotersen</w:t>
      </w:r>
      <w:proofErr w:type="spellEnd"/>
      <w:r>
        <w:rPr>
          <w:rFonts w:ascii="Georgia" w:hAnsi="Georgia"/>
          <w:color w:val="000000" w:themeColor="text1"/>
          <w:sz w:val="28"/>
          <w:szCs w:val="28"/>
        </w:rPr>
        <w:t xml:space="preserve"> </w:t>
      </w:r>
      <w:r>
        <w:rPr>
          <w:rFonts w:ascii="Georgia" w:hAnsi="Georgia"/>
          <w:sz w:val="28"/>
        </w:rPr>
        <w:t>segment is to garner a highest revenue by the end of 2036 by growing at a significant CAGR over the forecast period.</w:t>
      </w:r>
      <w:bookmarkEnd w:id="1"/>
      <w:bookmarkEnd w:id="2"/>
      <w:r>
        <w:rPr>
          <w:rFonts w:ascii="Georgia" w:hAnsi="Georgia"/>
          <w:sz w:val="28"/>
        </w:rPr>
        <w:t xml:space="preserve"> </w:t>
      </w:r>
      <w:proofErr w:type="spellStart"/>
      <w:r>
        <w:rPr>
          <w:rFonts w:ascii="Georgia" w:hAnsi="Georgia"/>
          <w:sz w:val="28"/>
        </w:rPr>
        <w:t>Inotersen's</w:t>
      </w:r>
      <w:proofErr w:type="spellEnd"/>
      <w:r>
        <w:rPr>
          <w:rFonts w:ascii="Georgia" w:hAnsi="Georgia"/>
          <w:sz w:val="28"/>
        </w:rPr>
        <w:t xml:space="preserve"> notable efficacy in managing polyneuropathy associated with </w:t>
      </w:r>
      <w:proofErr w:type="spellStart"/>
      <w:r>
        <w:rPr>
          <w:rFonts w:ascii="Georgia" w:hAnsi="Georgia"/>
          <w:sz w:val="28"/>
        </w:rPr>
        <w:t>hATTR</w:t>
      </w:r>
      <w:proofErr w:type="spellEnd"/>
      <w:r>
        <w:rPr>
          <w:rFonts w:ascii="Georgia" w:hAnsi="Georgia"/>
          <w:sz w:val="28"/>
        </w:rPr>
        <w:t xml:space="preserve"> positions it as a preferred therapeutic choice. Clinical studies have demonstrated its ability to slow disease progression, alleviate symptoms, and improve patients' quality of life. The demonstrated efficacy in polyneuropathy management not only addresses a critical aspect of ATTR but also contributes significantly to the adoption and growth of the </w:t>
      </w:r>
      <w:proofErr w:type="spellStart"/>
      <w:r>
        <w:rPr>
          <w:rFonts w:ascii="Georgia" w:hAnsi="Georgia"/>
          <w:sz w:val="28"/>
        </w:rPr>
        <w:t>Inotersen</w:t>
      </w:r>
      <w:proofErr w:type="spellEnd"/>
      <w:r>
        <w:rPr>
          <w:rFonts w:ascii="Georgia" w:hAnsi="Georgia"/>
          <w:sz w:val="28"/>
        </w:rPr>
        <w:t xml:space="preserve"> segment in the Transthyretin Stabilizers market.</w:t>
      </w:r>
    </w:p>
    <w:p w14:paraId="76D97A39" w14:textId="77777777" w:rsidR="00683EA7" w:rsidRDefault="00683EA7" w:rsidP="00683EA7">
      <w:pPr>
        <w:spacing w:line="360" w:lineRule="auto"/>
        <w:jc w:val="both"/>
        <w:rPr>
          <w:rFonts w:ascii="Georgia" w:hAnsi="Georgia"/>
          <w:sz w:val="28"/>
        </w:rPr>
      </w:pPr>
      <w:bookmarkStart w:id="3" w:name="_Hlk147244557"/>
      <w:bookmarkStart w:id="4" w:name="_Hlk153828879"/>
      <w:r>
        <w:rPr>
          <w:rFonts w:ascii="Georgia" w:hAnsi="Georgia"/>
          <w:sz w:val="28"/>
        </w:rPr>
        <w:t>By region, the Europe transthyretin stabilizers</w:t>
      </w:r>
      <w:r>
        <w:rPr>
          <w:rFonts w:ascii="Georgia" w:hAnsi="Georgia"/>
          <w:iCs/>
          <w:color w:val="000000" w:themeColor="text1"/>
          <w:sz w:val="28"/>
          <w:szCs w:val="28"/>
        </w:rPr>
        <w:t xml:space="preserve"> </w:t>
      </w:r>
      <w:r>
        <w:rPr>
          <w:rFonts w:ascii="Georgia" w:hAnsi="Georgia"/>
          <w:sz w:val="28"/>
        </w:rPr>
        <w:t xml:space="preserve">market is to generate </w:t>
      </w:r>
      <w:bookmarkStart w:id="5" w:name="_Hlk140522455"/>
      <w:r>
        <w:rPr>
          <w:rFonts w:ascii="Georgia" w:hAnsi="Georgia"/>
          <w:sz w:val="28"/>
        </w:rPr>
        <w:t xml:space="preserve">a notable </w:t>
      </w:r>
      <w:bookmarkEnd w:id="5"/>
      <w:r>
        <w:rPr>
          <w:rFonts w:ascii="Georgia" w:hAnsi="Georgia"/>
          <w:sz w:val="28"/>
        </w:rPr>
        <w:t>revenue by the end of 2036.</w:t>
      </w:r>
      <w:bookmarkEnd w:id="3"/>
      <w:bookmarkEnd w:id="4"/>
      <w:r>
        <w:rPr>
          <w:rFonts w:ascii="Georgia" w:hAnsi="Georgia"/>
          <w:sz w:val="28"/>
        </w:rPr>
        <w:t xml:space="preserve"> European countries allocate a substantial portion of their budgets to healthcare. The increasing healthcare expenditure reflects a commitment to addressing healthcare challenges, including the management of rare diseases like transthyretin amyloidosis. Growing awareness of transthyretin amyloidosis (ATTR) among healthcare professionals and the general public has led to improved diagnosis rates. Increased understanding of the disease and its manifestations has contributed to the identification of more cases. Collaborations between </w:t>
      </w:r>
      <w:r>
        <w:rPr>
          <w:rFonts w:ascii="Georgia" w:hAnsi="Georgia"/>
          <w:sz w:val="28"/>
        </w:rPr>
        <w:lastRenderedPageBreak/>
        <w:t>pharmaceutical companies, research institutions, and healthcare organizations in Europe have facilitated research initiatives and clinical trials focused on transthyretin stabilizers. These collaborations enhance the development of novel therapies and advance the scientific understanding of transthyretin amyloidosis.</w:t>
      </w:r>
    </w:p>
    <w:p w14:paraId="475E3224" w14:textId="77777777" w:rsidR="00683EA7" w:rsidRDefault="00683EA7" w:rsidP="00683EA7">
      <w:pPr>
        <w:spacing w:line="360" w:lineRule="auto"/>
        <w:jc w:val="both"/>
        <w:rPr>
          <w:rFonts w:ascii="Georgia" w:hAnsi="Georgia"/>
          <w:sz w:val="28"/>
          <w:szCs w:val="28"/>
        </w:rPr>
      </w:pPr>
      <w:bookmarkStart w:id="6" w:name="_Hlk147244718"/>
      <w:r>
        <w:rPr>
          <w:rFonts w:ascii="Georgia" w:hAnsi="Georgia"/>
          <w:sz w:val="28"/>
          <w:szCs w:val="28"/>
        </w:rPr>
        <w:t xml:space="preserve">This report also provides the existing competitive scenario of some of the key players of the </w:t>
      </w:r>
      <w:r>
        <w:rPr>
          <w:rFonts w:ascii="Georgia" w:hAnsi="Georgia"/>
          <w:sz w:val="28"/>
        </w:rPr>
        <w:t>global transthyretin stabilizers</w:t>
      </w:r>
      <w:r>
        <w:rPr>
          <w:rFonts w:ascii="Georgia" w:hAnsi="Georgia"/>
          <w:iCs/>
          <w:color w:val="000000" w:themeColor="text1"/>
          <w:sz w:val="28"/>
          <w:szCs w:val="28"/>
        </w:rPr>
        <w:t xml:space="preserve"> </w:t>
      </w:r>
      <w:r>
        <w:rPr>
          <w:rFonts w:ascii="Georgia" w:hAnsi="Georgia"/>
          <w:sz w:val="28"/>
        </w:rPr>
        <w:t xml:space="preserve">market </w:t>
      </w:r>
      <w:r>
        <w:rPr>
          <w:rFonts w:ascii="Georgia" w:hAnsi="Georgia"/>
          <w:sz w:val="28"/>
          <w:szCs w:val="28"/>
        </w:rPr>
        <w:t xml:space="preserve">which includes company profiling of Pfizer Inc., Ionis Pharmaceuticals, Inc., Alnylam Pharmaceuticals, Inc., </w:t>
      </w:r>
      <w:proofErr w:type="spellStart"/>
      <w:r>
        <w:rPr>
          <w:rFonts w:ascii="Georgia" w:hAnsi="Georgia"/>
          <w:sz w:val="28"/>
          <w:szCs w:val="28"/>
        </w:rPr>
        <w:t>Akcea</w:t>
      </w:r>
      <w:proofErr w:type="spellEnd"/>
      <w:r>
        <w:rPr>
          <w:rFonts w:ascii="Georgia" w:hAnsi="Georgia"/>
          <w:sz w:val="28"/>
          <w:szCs w:val="28"/>
        </w:rPr>
        <w:t xml:space="preserve"> Therapeutics, Inc., Eidos Therapeutics, Inc., </w:t>
      </w:r>
      <w:proofErr w:type="spellStart"/>
      <w:r>
        <w:rPr>
          <w:rFonts w:ascii="Georgia" w:hAnsi="Georgia"/>
          <w:sz w:val="28"/>
          <w:szCs w:val="28"/>
        </w:rPr>
        <w:t>FoldRx</w:t>
      </w:r>
      <w:proofErr w:type="spellEnd"/>
      <w:r>
        <w:rPr>
          <w:rFonts w:ascii="Georgia" w:hAnsi="Georgia"/>
          <w:sz w:val="28"/>
          <w:szCs w:val="28"/>
        </w:rPr>
        <w:t xml:space="preserve"> Pharmaceuticals, Inc.</w:t>
      </w:r>
      <w:r>
        <w:rPr>
          <w:rFonts w:ascii="Georgia" w:hAnsi="Georgia"/>
          <w:sz w:val="28"/>
        </w:rPr>
        <w:t>,</w:t>
      </w:r>
      <w:r>
        <w:rPr>
          <w:rStyle w:val="CommentReference"/>
        </w:rPr>
        <w:t xml:space="preserve"> </w:t>
      </w:r>
      <w:r>
        <w:rPr>
          <w:rStyle w:val="CommentReference"/>
          <w:rFonts w:ascii="Georgia" w:hAnsi="Georgia"/>
          <w:sz w:val="28"/>
          <w:szCs w:val="28"/>
        </w:rPr>
        <w:t>and others.</w:t>
      </w:r>
      <w:r>
        <w:rPr>
          <w:rFonts w:ascii="Georgia" w:hAnsi="Georgia"/>
          <w:sz w:val="28"/>
          <w:szCs w:val="28"/>
        </w:rPr>
        <w:t xml:space="preserve">      </w:t>
      </w:r>
    </w:p>
    <w:p w14:paraId="03B67463" w14:textId="4A7CA973" w:rsidR="00683EA7" w:rsidRDefault="00683EA7" w:rsidP="00683EA7">
      <w:pPr>
        <w:spacing w:line="360" w:lineRule="auto"/>
        <w:jc w:val="both"/>
        <w:rPr>
          <w:rFonts w:ascii="Georgia" w:hAnsi="Georgia" w:cs="Arial"/>
          <w:b/>
          <w:bCs/>
          <w:sz w:val="28"/>
          <w:szCs w:val="28"/>
        </w:rPr>
      </w:pPr>
      <w:r>
        <w:rPr>
          <w:rFonts w:ascii="Georgia" w:hAnsi="Georgia" w:cs="Arial"/>
          <w:b/>
          <w:bCs/>
          <w:sz w:val="28"/>
          <w:szCs w:val="28"/>
        </w:rPr>
        <w:t xml:space="preserve">Request </w:t>
      </w:r>
      <w:r>
        <w:rPr>
          <w:rFonts w:ascii="Georgia" w:hAnsi="Georgia" w:cs="Arial"/>
          <w:b/>
          <w:bCs/>
          <w:sz w:val="28"/>
          <w:szCs w:val="28"/>
        </w:rPr>
        <w:t>for Customization</w:t>
      </w:r>
      <w:r>
        <w:rPr>
          <w:rFonts w:ascii="Georgia" w:hAnsi="Georgia" w:cs="Arial"/>
          <w:b/>
          <w:bCs/>
          <w:sz w:val="28"/>
          <w:szCs w:val="28"/>
        </w:rPr>
        <w:t xml:space="preserve">@ </w:t>
      </w:r>
    </w:p>
    <w:p w14:paraId="0762D63F" w14:textId="0ADAA485" w:rsidR="00683EA7" w:rsidRDefault="00683EA7" w:rsidP="00683EA7">
      <w:pPr>
        <w:spacing w:line="360" w:lineRule="auto"/>
        <w:jc w:val="both"/>
        <w:rPr>
          <w:rFonts w:ascii="Georgia" w:hAnsi="Georgia" w:cs="Arial"/>
          <w:b/>
          <w:bCs/>
          <w:sz w:val="28"/>
          <w:szCs w:val="28"/>
        </w:rPr>
      </w:pPr>
      <w:hyperlink r:id="rId6" w:history="1">
        <w:r w:rsidRPr="00FB3F8B">
          <w:rPr>
            <w:rStyle w:val="Hyperlink"/>
            <w:rFonts w:ascii="Georgia" w:hAnsi="Georgia" w:cs="Arial"/>
            <w:b/>
            <w:bCs/>
            <w:sz w:val="28"/>
            <w:szCs w:val="28"/>
          </w:rPr>
          <w:t>https://www.researchnester.com/customized-reports-5491</w:t>
        </w:r>
      </w:hyperlink>
      <w:r>
        <w:rPr>
          <w:rFonts w:ascii="Georgia" w:hAnsi="Georgia" w:cs="Arial"/>
          <w:b/>
          <w:bCs/>
          <w:sz w:val="28"/>
          <w:szCs w:val="28"/>
        </w:rPr>
        <w:t xml:space="preserve"> </w:t>
      </w:r>
    </w:p>
    <w:p w14:paraId="099B9D42" w14:textId="77777777" w:rsidR="00683EA7" w:rsidRDefault="00683EA7" w:rsidP="00683EA7">
      <w:pPr>
        <w:spacing w:line="360" w:lineRule="auto"/>
        <w:jc w:val="both"/>
        <w:rPr>
          <w:rFonts w:ascii="Georgia" w:hAnsi="Georgia" w:cs="Arial"/>
          <w:sz w:val="28"/>
          <w:szCs w:val="28"/>
        </w:rPr>
      </w:pPr>
      <w:r>
        <w:rPr>
          <w:rFonts w:ascii="Georgia" w:hAnsi="Georgia" w:cs="Arial"/>
          <w:sz w:val="28"/>
          <w:szCs w:val="28"/>
        </w:rPr>
        <w:t>Research Nester is a leading service provider for strategic market research and consulting. We aim to provide unbiased, unparalleled market insights and industry analysis to help industries, conglomerates and executives to take wise decisions for their future marketing strategy, expansion and investment etc. We believe every business can expand to its new horizon, provided a right guidance at a right time is available through strategic minds. Our out of box thinking helps our clients to take wise decision in order to avoid future uncertainties.</w:t>
      </w:r>
    </w:p>
    <w:p w14:paraId="31ECB5A8" w14:textId="77777777" w:rsidR="00683EA7" w:rsidRDefault="00683EA7" w:rsidP="00683EA7">
      <w:pPr>
        <w:spacing w:line="360" w:lineRule="auto"/>
        <w:jc w:val="both"/>
        <w:rPr>
          <w:rFonts w:ascii="Georgia" w:hAnsi="Georgia" w:cs="Arial"/>
          <w:b/>
          <w:sz w:val="28"/>
          <w:szCs w:val="28"/>
        </w:rPr>
      </w:pPr>
      <w:r>
        <w:rPr>
          <w:rFonts w:ascii="Georgia" w:hAnsi="Georgia" w:cs="Arial"/>
          <w:b/>
          <w:sz w:val="28"/>
          <w:szCs w:val="28"/>
        </w:rPr>
        <w:t>Contact for more Info:</w:t>
      </w:r>
    </w:p>
    <w:p w14:paraId="6101CF36" w14:textId="77777777" w:rsidR="00683EA7" w:rsidRDefault="00683EA7" w:rsidP="00683EA7">
      <w:pPr>
        <w:pStyle w:val="NoSpacing"/>
        <w:spacing w:line="360" w:lineRule="auto"/>
        <w:jc w:val="both"/>
        <w:rPr>
          <w:rFonts w:ascii="Georgia" w:hAnsi="Georgia"/>
          <w:b/>
          <w:sz w:val="28"/>
          <w:szCs w:val="28"/>
        </w:rPr>
      </w:pPr>
      <w:r>
        <w:rPr>
          <w:rFonts w:ascii="Georgia" w:hAnsi="Georgia"/>
          <w:b/>
          <w:sz w:val="28"/>
          <w:szCs w:val="28"/>
        </w:rPr>
        <w:t>AJ Daniel</w:t>
      </w:r>
    </w:p>
    <w:p w14:paraId="1D773B03" w14:textId="77777777" w:rsidR="00683EA7" w:rsidRDefault="00683EA7" w:rsidP="00683EA7">
      <w:pPr>
        <w:pStyle w:val="NoSpacing"/>
        <w:spacing w:line="360" w:lineRule="auto"/>
        <w:jc w:val="both"/>
        <w:rPr>
          <w:rFonts w:ascii="Georgia" w:hAnsi="Georgia"/>
          <w:b/>
          <w:sz w:val="28"/>
          <w:szCs w:val="28"/>
        </w:rPr>
      </w:pPr>
      <w:r>
        <w:rPr>
          <w:rFonts w:ascii="Georgia" w:hAnsi="Georgia"/>
          <w:b/>
          <w:sz w:val="28"/>
          <w:szCs w:val="28"/>
        </w:rPr>
        <w:t xml:space="preserve">Email: </w:t>
      </w:r>
      <w:hyperlink r:id="rId7" w:history="1">
        <w:r>
          <w:rPr>
            <w:rStyle w:val="Hyperlink"/>
            <w:rFonts w:ascii="Georgia" w:hAnsi="Georgia"/>
            <w:b/>
            <w:sz w:val="28"/>
            <w:szCs w:val="28"/>
          </w:rPr>
          <w:t>info@researchnester.com</w:t>
        </w:r>
      </w:hyperlink>
    </w:p>
    <w:p w14:paraId="021FA741" w14:textId="77777777" w:rsidR="00683EA7" w:rsidRDefault="00683EA7" w:rsidP="00683EA7">
      <w:pPr>
        <w:pStyle w:val="NoSpacing"/>
        <w:spacing w:line="360" w:lineRule="auto"/>
        <w:jc w:val="both"/>
        <w:rPr>
          <w:rFonts w:ascii="Georgia" w:hAnsi="Georgia"/>
          <w:b/>
          <w:sz w:val="28"/>
          <w:szCs w:val="28"/>
        </w:rPr>
      </w:pPr>
      <w:r>
        <w:rPr>
          <w:rFonts w:ascii="Georgia" w:hAnsi="Georgia"/>
          <w:b/>
          <w:sz w:val="28"/>
          <w:szCs w:val="28"/>
        </w:rPr>
        <w:t xml:space="preserve">U.S. Phone: +1 646 586 9123 </w:t>
      </w:r>
    </w:p>
    <w:p w14:paraId="13600ED4" w14:textId="77777777" w:rsidR="00683EA7" w:rsidRDefault="00683EA7" w:rsidP="00683EA7">
      <w:pPr>
        <w:spacing w:line="360" w:lineRule="auto"/>
        <w:jc w:val="both"/>
        <w:rPr>
          <w:rFonts w:ascii="Georgia" w:hAnsi="Georgia"/>
          <w:sz w:val="28"/>
        </w:rPr>
      </w:pPr>
      <w:r>
        <w:rPr>
          <w:rStyle w:val="Hyperlink"/>
          <w:rFonts w:ascii="Georgia" w:hAnsi="Georgia"/>
          <w:b/>
          <w:color w:val="000000" w:themeColor="text1"/>
          <w:sz w:val="28"/>
          <w:szCs w:val="28"/>
        </w:rPr>
        <w:t>U.K. Phone: +44 203 608 5919</w:t>
      </w:r>
    </w:p>
    <w:bookmarkEnd w:id="6"/>
    <w:p w14:paraId="6725A6EB" w14:textId="77777777" w:rsidR="00683EA7" w:rsidRDefault="00683EA7" w:rsidP="00683EA7">
      <w:pPr>
        <w:spacing w:line="360" w:lineRule="auto"/>
        <w:jc w:val="both"/>
        <w:rPr>
          <w:rFonts w:ascii="Georgia" w:hAnsi="Georgia"/>
          <w:sz w:val="28"/>
          <w:szCs w:val="28"/>
        </w:rPr>
      </w:pPr>
    </w:p>
    <w:p w14:paraId="52D7D3D6" w14:textId="77777777" w:rsidR="00A13383" w:rsidRDefault="00A13383"/>
    <w:sectPr w:rsidR="00A13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A7"/>
    <w:rsid w:val="00683EA7"/>
    <w:rsid w:val="00A13383"/>
    <w:rsid w:val="00EF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2BDD"/>
  <w15:chartTrackingRefBased/>
  <w15:docId w15:val="{6F4758D2-1D29-45B2-B8A2-21A753F5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EA7"/>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EA7"/>
    <w:rPr>
      <w:color w:val="0563C1" w:themeColor="hyperlink"/>
      <w:u w:val="single"/>
    </w:rPr>
  </w:style>
  <w:style w:type="paragraph" w:styleId="NoSpacing">
    <w:name w:val="No Spacing"/>
    <w:uiPriority w:val="1"/>
    <w:qFormat/>
    <w:rsid w:val="00683EA7"/>
    <w:pPr>
      <w:spacing w:after="0" w:line="240" w:lineRule="auto"/>
    </w:pPr>
    <w:rPr>
      <w:rFonts w:ascii="Calibri" w:eastAsia="Calibri" w:hAnsi="Calibri" w:cs="Times New Roman"/>
      <w:kern w:val="0"/>
      <w14:ligatures w14:val="none"/>
    </w:rPr>
  </w:style>
  <w:style w:type="character" w:styleId="CommentReference">
    <w:name w:val="annotation reference"/>
    <w:basedOn w:val="DefaultParagraphFont"/>
    <w:uiPriority w:val="99"/>
    <w:semiHidden/>
    <w:unhideWhenUsed/>
    <w:rsid w:val="00683EA7"/>
    <w:rPr>
      <w:sz w:val="16"/>
      <w:szCs w:val="16"/>
    </w:rPr>
  </w:style>
  <w:style w:type="character" w:styleId="UnresolvedMention">
    <w:name w:val="Unresolved Mention"/>
    <w:basedOn w:val="DefaultParagraphFont"/>
    <w:uiPriority w:val="99"/>
    <w:semiHidden/>
    <w:unhideWhenUsed/>
    <w:rsid w:val="00683EA7"/>
    <w:rPr>
      <w:color w:val="605E5C"/>
      <w:shd w:val="clear" w:color="auto" w:fill="E1DFDD"/>
    </w:rPr>
  </w:style>
  <w:style w:type="paragraph" w:styleId="NormalWeb">
    <w:name w:val="Normal (Web)"/>
    <w:basedOn w:val="Normal"/>
    <w:uiPriority w:val="99"/>
    <w:semiHidden/>
    <w:unhideWhenUsed/>
    <w:rsid w:val="00683E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63364">
      <w:bodyDiv w:val="1"/>
      <w:marLeft w:val="0"/>
      <w:marRight w:val="0"/>
      <w:marTop w:val="0"/>
      <w:marBottom w:val="0"/>
      <w:divBdr>
        <w:top w:val="none" w:sz="0" w:space="0" w:color="auto"/>
        <w:left w:val="none" w:sz="0" w:space="0" w:color="auto"/>
        <w:bottom w:val="none" w:sz="0" w:space="0" w:color="auto"/>
        <w:right w:val="none" w:sz="0" w:space="0" w:color="auto"/>
      </w:divBdr>
    </w:div>
    <w:div w:id="1783265460">
      <w:bodyDiv w:val="1"/>
      <w:marLeft w:val="0"/>
      <w:marRight w:val="0"/>
      <w:marTop w:val="0"/>
      <w:marBottom w:val="0"/>
      <w:divBdr>
        <w:top w:val="none" w:sz="0" w:space="0" w:color="auto"/>
        <w:left w:val="none" w:sz="0" w:space="0" w:color="auto"/>
        <w:bottom w:val="none" w:sz="0" w:space="0" w:color="auto"/>
        <w:right w:val="none" w:sz="0" w:space="0" w:color="auto"/>
      </w:divBdr>
    </w:div>
    <w:div w:id="21453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fo@researchnest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nester.com/customized-reports-5491" TargetMode="External"/><Relationship Id="rId5" Type="http://schemas.openxmlformats.org/officeDocument/2006/relationships/hyperlink" Target="https://www.researchnester.com/sample-request-5491" TargetMode="External"/><Relationship Id="rId4" Type="http://schemas.openxmlformats.org/officeDocument/2006/relationships/hyperlink" Target="https://www.researchnester.com/reports/transthyretin-stabilizers-market/549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Shirvas</dc:creator>
  <cp:keywords/>
  <dc:description/>
  <cp:lastModifiedBy>Abhimanyu Shirvas</cp:lastModifiedBy>
  <cp:revision>2</cp:revision>
  <dcterms:created xsi:type="dcterms:W3CDTF">2024-05-30T05:54:00Z</dcterms:created>
  <dcterms:modified xsi:type="dcterms:W3CDTF">2024-05-30T06:01:00Z</dcterms:modified>
</cp:coreProperties>
</file>