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DIRETORIA DE AUDITORIA E FISCALIZAÇÃO - DIAFI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44.0" w:type="dxa"/>
        <w:jc w:val="left"/>
        <w:tblLayout w:type="fixed"/>
        <w:tblLook w:val="0600"/>
      </w:tblPr>
      <w:tblGrid>
        <w:gridCol w:w="2834"/>
        <w:gridCol w:w="6810"/>
        <w:tblGridChange w:id="0">
          <w:tblGrid>
            <w:gridCol w:w="2834"/>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Prefeitura de Aguiar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de Análise da Transparência da Gestão Pública e de acesso à Informação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31/05/2023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Pontuação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30/630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Avaliação Percentual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r>
    </w:tbl>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Liberation Serif" w:cs="Liberation Serif" w:eastAsia="Liberation Serif" w:hAnsi="Liberation Serif"/>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1. Considerações Iniciais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matéria tratada nos presentes autos versa sobre a análise do cumprimento da lei de transparência e da lei de acesso à informação no âmbito da Unidade Gestora Prefeitura de Aguiar, referente à data 31/05/2023.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TCE/PB também inclui em seus relatórios de análise das prestações de contas municipais, desde a competência de 2012, um espaço reservado para averiguações sobre a existência de Sítio Oficial na Rede Mundial de Computadores destinado: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divulgação de informações de interesse coletivo ou geral, conforme a Lei 12.527/2011;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Portal da Transparência;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disponibilizar informações sobre a Execução Orçamentária e Financeira de acordo com a LC 131/2009, que alterou a LC 101/2000 (Lei de Responsabilidade da Gestão Fiscal).</w:t>
      </w:r>
      <w:r w:rsidDel="00000000" w:rsidR="00000000" w:rsidRPr="00000000">
        <w:rPr>
          <w:rtl w:val="0"/>
        </w:rPr>
      </w:r>
    </w:p>
    <w:p w:rsidR="00000000" w:rsidDel="00000000" w:rsidP="00000000" w:rsidRDefault="00000000" w:rsidRPr="00000000" w14:paraId="00000015">
      <w:pPr>
        <w:widowControl w:val="0"/>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2. Entendimento Técnico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concretude de tais preceitos, foi editada a LC 131/2009, que alterou a LC 101/2000, passando a ser, desde maio de 2013, obrigatória a divulgação, em páginas eletrônicas oficiais, de informações nela discriminadas: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687.0" w:type="dxa"/>
        <w:jc w:val="left"/>
        <w:tblLayout w:type="fixed"/>
        <w:tblLook w:val="0600"/>
      </w:tblPr>
      <w:tblGrid>
        <w:gridCol w:w="9687"/>
        <w:tblGridChange w:id="0">
          <w:tblGrid>
            <w:gridCol w:w="96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A transparência será assegurada também mediante: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liberação ao pleno conhecimento e acompanhamento da sociedade, em tempo real, de informações pormenorizadas sobre a execução orçamentária e financeira, em meios eletrônicos de acesso público;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48-A: Para fins a que se refere o inciso II do parágrafo único do art. 48, os entes da Federação disponibilizarão a qualquer pessoa física ou jurídica o acesso a informações referentes a:</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quanto à receita: o lançamento e o recebimento de toda a receita das unidades gestoras, inclusive referente a recursos extraordinários.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norma a que se refere o dispositivo constitucional citado acima é a Lei Nacional 12.527/11, em cujos dispositivos pode ser identificado, resumidamente, o procedimento a ser adotado: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Os órgãos e entidades do poder público devem viabilizar </w:t>
            </w:r>
            <w:r w:rsidDel="00000000" w:rsidR="00000000" w:rsidRPr="00000000">
              <w:rPr>
                <w:rFonts w:ascii="Arial" w:cs="Arial" w:eastAsia="Arial" w:hAnsi="Arial"/>
                <w:rtl w:val="0"/>
              </w:rPr>
              <w:t xml:space="preserve">alternativas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encaminhamento de pedidos de acesso por meio de seus sítios oficiais na internet.</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3. Da Análise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31/05/2023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realizada avaliação da página eletrônica oficial da Unidade Gestora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Prefeitura de Aguiar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feitas as constatações conforme planilha a seguir: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DIAGNÓSTICO – TRANSPARÊNCIA PÚBLICA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4"/>
        <w:tblW w:w="11339.0" w:type="dxa"/>
        <w:jc w:val="left"/>
        <w:tblInd w:w="-857.0" w:type="dxa"/>
        <w:tblLayout w:type="fixed"/>
        <w:tblLook w:val="0600"/>
      </w:tblPr>
      <w:tblGrid>
        <w:gridCol w:w="4535"/>
        <w:gridCol w:w="3402"/>
        <w:gridCol w:w="1417"/>
        <w:gridCol w:w="1985"/>
        <w:tblGridChange w:id="0">
          <w:tblGrid>
            <w:gridCol w:w="4535"/>
            <w:gridCol w:w="3402"/>
            <w:gridCol w:w="1417"/>
            <w:gridCol w:w="1985"/>
          </w:tblGrid>
        </w:tblGridChange>
      </w:tblGrid>
      <w:tr>
        <w:trPr>
          <w:cantSplit w:val="0"/>
          <w:trHeight w:val="283" w:hRule="atLeast"/>
          <w:tblHeader w:val="0"/>
        </w:trPr>
        <w:tc>
          <w:tcPr>
            <w:tcBorders>
              <w:top w:color="000000" w:space="0" w:sz="6" w:val="single"/>
              <w:left w:color="000000" w:space="0" w:sz="6" w:val="single"/>
            </w:tcBorders>
            <w:shd w:fill="4d4c4c"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Procedimento</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 legal</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right w:color="000000" w:space="0" w:sz="6" w:val="single"/>
            </w:tcBorders>
            <w:shd w:fill="4d4c4c"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Observação</w:t>
            </w:r>
            <w:r w:rsidDel="00000000" w:rsidR="00000000" w:rsidRPr="00000000">
              <w:rPr>
                <w:rtl w:val="0"/>
              </w:rPr>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possui site e/ou Portal da Transparência em funcionamento?</w:t>
            </w:r>
          </w:p>
        </w:tc>
        <w:tc>
          <w:tcPr>
            <w:shd w:fill="e8e8e8"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Inciso II, art.48, LC 101/00; §2º, art. 8º, Lei 12527/11.</w:t>
            </w:r>
          </w:p>
        </w:tc>
        <w:tc>
          <w:tcPr>
            <w:shd w:fill="e8e8e8"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Previsão?</w:t>
            </w:r>
          </w:p>
        </w:tc>
        <w:tc>
          <w:tcPr>
            <w:shd w:fill="f6f6f6"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II, art. 7º, Decreto 7185/10.</w:t>
            </w:r>
          </w:p>
        </w:tc>
        <w:tc>
          <w:tcPr>
            <w:shd w:fill="f6f6f6"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Arrecadação?</w:t>
            </w:r>
          </w:p>
        </w:tc>
        <w:tc>
          <w:tcPr>
            <w:shd w:fill="e8e8e8"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II, art. 7º, Decreto 7185/10; inciso II,</w:t>
            </w:r>
          </w:p>
        </w:tc>
        <w:tc>
          <w:tcPr>
            <w:shd w:fill="e8e8e8"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r w:rsidDel="00000000" w:rsidR="00000000" w:rsidRPr="00000000">
              <w:rPr>
                <w:rtl w:val="0"/>
              </w:rPr>
            </w:r>
          </w:p>
        </w:tc>
        <w:tc>
          <w:tcPr>
            <w:tcBorders>
              <w:right w:color="000000" w:space="0" w:sz="6" w:val="single"/>
            </w:tcBorders>
            <w:shd w:fill="e8e8e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valor do empenho?</w:t>
            </w:r>
          </w:p>
        </w:tc>
        <w:tc>
          <w:tcPr>
            <w:shd w:fill="f6f6f6"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f6f6f6"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pagamento?</w:t>
            </w:r>
          </w:p>
        </w:tc>
        <w:tc>
          <w:tcPr>
            <w:shd w:fill="e8e8e8"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e8e8e8"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unidade orçamentária?</w:t>
            </w:r>
          </w:p>
        </w:tc>
        <w:tc>
          <w:tcPr>
            <w:shd w:fill="f6f6f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função?</w:t>
            </w:r>
          </w:p>
        </w:tc>
        <w:tc>
          <w:tcPr>
            <w:shd w:fill="e8e8e8"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subfunção?</w:t>
            </w:r>
          </w:p>
        </w:tc>
        <w:tc>
          <w:tcPr>
            <w:shd w:fill="f6f6f6"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natureza?</w:t>
            </w:r>
          </w:p>
        </w:tc>
        <w:tc>
          <w:tcPr>
            <w:shd w:fill="e8e8e8"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pessoa física ou jurídica beneficiária do pagamento?</w:t>
            </w:r>
          </w:p>
        </w:tc>
        <w:tc>
          <w:tcPr>
            <w:shd w:fill="e8e8e8" w:val="cle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d, inciso I, art. 7º, Decreto 7185/10.</w:t>
            </w:r>
          </w:p>
        </w:tc>
        <w:tc>
          <w:tcPr>
            <w:shd w:fill="e8e8e8" w:val="cle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Na informação da despesa existe a indicação do processo licitatório?</w:t>
            </w:r>
          </w:p>
        </w:tc>
        <w:tc>
          <w:tcPr>
            <w:shd w:fill="f6f6f6" w:val="cle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e, inciso I, art. 7º, Decreto 7185/10.</w:t>
            </w:r>
          </w:p>
        </w:tc>
        <w:tc>
          <w:tcPr>
            <w:shd w:fill="f6f6f6" w:val="cle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bottom w:color="000000" w:space="0" w:sz="6" w:val="single"/>
            </w:tcBorders>
            <w:shd w:fill="e8e8e8" w:val="cle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bem fornecido ou serviço prestado, quando for o caso?</w:t>
            </w:r>
          </w:p>
        </w:tc>
        <w:tc>
          <w:tcPr>
            <w:tcBorders>
              <w:bottom w:color="000000" w:space="0" w:sz="6" w:val="single"/>
            </w:tcBorders>
            <w:shd w:fill="e8e8e8" w:val="cle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f, inciso I, art. 7º, Decreto 7185/10.</w:t>
            </w:r>
          </w:p>
        </w:tc>
        <w:tc>
          <w:tcPr>
            <w:tcBorders>
              <w:bottom w:color="000000" w:space="0" w:sz="6" w:val="single"/>
            </w:tcBorders>
            <w:shd w:fill="e8e8e8" w:val="cle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bottom w:color="000000" w:space="0" w:sz="6" w:val="single"/>
              <w:right w:color="000000" w:space="0" w:sz="6" w:val="single"/>
            </w:tcBorders>
            <w:shd w:fill="e8e8e8"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1325.0" w:type="dxa"/>
        <w:jc w:val="left"/>
        <w:tblInd w:w="-857.0" w:type="dxa"/>
        <w:tblLayout w:type="fixed"/>
        <w:tblLook w:val="0600"/>
      </w:tblPr>
      <w:tblGrid>
        <w:gridCol w:w="4530"/>
        <w:gridCol w:w="2865"/>
        <w:gridCol w:w="2175"/>
        <w:gridCol w:w="1755"/>
        <w:tblGridChange w:id="0">
          <w:tblGrid>
            <w:gridCol w:w="4530"/>
            <w:gridCol w:w="2865"/>
            <w:gridCol w:w="2175"/>
            <w:gridCol w:w="1755"/>
          </w:tblGrid>
        </w:tblGridChange>
      </w:tblGrid>
      <w:tr>
        <w:trPr>
          <w:cantSplit w:val="1"/>
          <w:trHeight w:val="630" w:hRule="atLeast"/>
          <w:tblHeader w:val="0"/>
        </w:trPr>
        <w:tc>
          <w:tcPr>
            <w:tcBorders>
              <w:top w:color="000000"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Percentual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Nota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Conteúdo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30/630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0,5</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OBSERVAÇÃO: alguns itens que aqui serão avaliados ainda não estão implementados na versão atual do sistema, sendo eles uma prioridade para versões futuras. Os elementos referidos ão os seguintes: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regulamentou a Lei de Acesso à Informação? (Art. 42. Lei 12.527/11)</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Houve a implementação do Serviço de Informação ao Cidadão (SIC)? (Inciso I, art.9º, Lei 12527/11)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alternativa de enviar pedidos de forma eletrônica ao SIC?  (§2º, art.10º, Lei 12527/11)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fonte dos recursos que financiam o gasto? (Alínea c, inciso I, art. 7º, Decreto 7185/10)</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conteúdo disponibilizado atende ao requisito "tempo real"?  (Inciso II, art. 48, LC 101/00)</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está disponibilizado o registro das competências e estrutura organizacional do ente? (Inciso I, §1º, art.8º, Lei 12527/11)</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 endereços e telefones das respectivas unidades e horários de atendimento ao público? (Inciso I, §1º, art.8º, Lei 12527/11)</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informações concernentes a procedimentos licitatórios, inclusive os respectivos editais e resultados, bem como a todos os contratos celebrados? (Inciso IV, §1º, art.8º, Lei 12527/11)</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respostas </w:t>
      </w:r>
      <w:r w:rsidDel="00000000" w:rsidR="00000000" w:rsidRPr="00000000">
        <w:rPr>
          <w:rFonts w:ascii="Arial" w:cs="Arial" w:eastAsia="Arial" w:hAnsi="Arial"/>
          <w:rtl w:val="0"/>
        </w:rPr>
        <w:t xml:space="preserve">às perguntas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frequentes da sociedade? (Inciso VI, §1º, art.8º, Lei 12527/11)</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tem ferramenta de pesquisa? </w:t>
      </w:r>
      <w:r w:rsidDel="00000000" w:rsidR="00000000" w:rsidRPr="00000000">
        <w:rPr>
          <w:rFonts w:ascii="Arial" w:cs="Arial" w:eastAsia="Arial" w:hAnsi="Arial"/>
          <w:rtl w:val="0"/>
        </w:rPr>
        <w:t xml:space="preserve">(inciso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 3º, art.8º, Lei 12527/11)</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possibilita a gravação de relatórios em diversos formatos eletrônicos, inclusive abertos e não proprietários, tais como planilhas e texto, de modo a facilitar a análise das informações? (Inciso II, § 3º, art.8º, Lei 12527/11)</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possui um fale conosco que permite ao interessado comunicar-se, por via eletrônica ou telefônica, com o órgão ou entidade detentora do sítio? (Inciso III, § 3º, art.8º, Lei 12527/11)</w:t>
      </w:r>
      <w:r w:rsidDel="00000000" w:rsidR="00000000" w:rsidRPr="00000000">
        <w:rPr>
          <w:rtl w:val="0"/>
        </w:rPr>
      </w:r>
    </w:p>
    <w:p w:rsidR="00000000" w:rsidDel="00000000" w:rsidP="00000000" w:rsidRDefault="00000000" w:rsidRPr="00000000" w14:paraId="0000007C">
      <w:pPr>
        <w:spacing w:before="237"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Com isso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pela observância dos itens assinalados com "SIM" e pela inobservância integral dos itens assinalados com o termo “NÃO”, conforme planilha (item 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339.0" w:type="dxa"/>
        <w:jc w:val="left"/>
        <w:tblInd w:w="-857.0" w:type="dxa"/>
        <w:tblLayout w:type="fixed"/>
        <w:tblLook w:val="0600"/>
      </w:tblPr>
      <w:tblGrid>
        <w:gridCol w:w="6237"/>
        <w:gridCol w:w="1700"/>
        <w:gridCol w:w="1699"/>
        <w:gridCol w:w="1703"/>
        <w:tblGridChange w:id="0">
          <w:tblGrid>
            <w:gridCol w:w="6237"/>
            <w:gridCol w:w="1700"/>
            <w:gridCol w:w="1699"/>
            <w:gridCol w:w="1703"/>
          </w:tblGrid>
        </w:tblGridChange>
      </w:tblGrid>
      <w:tr>
        <w:trPr>
          <w:cantSplit w:val="1"/>
          <w:trHeight w:val="283" w:hRule="atLeast"/>
          <w:tblHeader w:val="0"/>
        </w:trPr>
        <w:tc>
          <w:tcPr>
            <w:tcBorders>
              <w:top w:color="000000" w:space="0" w:sz="6" w:val="single"/>
              <w:left w:color="000000"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Tipo/Parâmetros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Avaliação</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Percentual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Instrumentos de Planejamento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30/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Plurianual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Orçamentária Anual</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Receita 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55</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Previsto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Arrecadado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Receita Extraorçamentária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Fonts w:ascii="Arial" w:cs="Arial" w:eastAsia="Arial" w:hAnsi="Arial"/>
                <w:color w:val="ffffff"/>
                <w:rtl w:val="0"/>
              </w:rPr>
              <w:t xml:space="preserve">/</w:t>
            </w:r>
            <w:r w:rsidDel="00000000" w:rsidR="00000000" w:rsidRPr="00000000">
              <w:rPr>
                <w:rFonts w:ascii="Arial" w:cs="Arial" w:eastAsia="Arial" w:hAnsi="Arial"/>
                <w:b w:val="1"/>
                <w:color w:val="ffffff"/>
                <w:rtl w:val="0"/>
              </w:rPr>
              <w:t xml:space="preserve">31</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Realizado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 utilizada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Despesa 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130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fixado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Subfunção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Econômica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Natureza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Aplicação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do Empenho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Licitação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da Licitação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Empenho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Despesa Extraorçamentária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movimentação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Guia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Guia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Credor</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Credor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Procedimentos Licitatórios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Edital</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Repartição/Setor Interessado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Realização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Ordem/Série (Número da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Participantes (Vencedores e Perdedores)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Contratos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Contratado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Contrato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Convênios/Termos de Parceria/Contratos de Repasse/Termo de Cooperação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45</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Convênio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Concedente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Celebração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Publicação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Pactuado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da Contrapartida</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Documento de Pagamento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29</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Emitente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(OP / CHEQUE / TRANS BANC)</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 Bancária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de Recursos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Pagamento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 Quadro Pessoal</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Servidores</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 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F">
            <w:pPr>
              <w:widowControl w:val="0"/>
              <w:spacing w:before="237" w:lineRule="auto"/>
              <w:ind w:left="141" w:firstLine="0"/>
              <w:rPr>
                <w:rFonts w:ascii="Arial" w:cs="Arial" w:eastAsia="Arial" w:hAnsi="Arial"/>
              </w:rPr>
            </w:pPr>
            <w:r w:rsidDel="00000000" w:rsidR="00000000" w:rsidRPr="00000000">
              <w:rPr>
                <w:rFonts w:ascii="Arial" w:cs="Arial" w:eastAsia="Arial" w:hAnsi="Arial"/>
                <w:rtl w:val="0"/>
              </w:rPr>
              <w:t xml:space="preserve">Tipo de Cargo / Emprego / Função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0">
            <w:pPr>
              <w:widowControl w:val="0"/>
              <w:spacing w:before="237" w:lineRule="auto"/>
              <w:jc w:val="center"/>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1">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2">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Salário por servidor (no sentido amplo)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227">
      <w:pPr>
        <w:spacing w:before="237"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9">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A">
      <w:pPr>
        <w:spacing w:before="237" w:lineRule="auto"/>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B">
      <w:pPr>
        <w:keepNext w:val="1"/>
        <w:keepLines w:val="1"/>
        <w:spacing w:before="237" w:lineRule="auto"/>
        <w:jc w:val="both"/>
        <w:rPr>
          <w:rFonts w:ascii="Arial" w:cs="Arial" w:eastAsia="Arial" w:hAnsi="Arial"/>
          <w:sz w:val="28"/>
          <w:szCs w:val="28"/>
          <w:shd w:fill="cccccc" w:val="clear"/>
        </w:rPr>
      </w:pPr>
      <w:r w:rsidDel="00000000" w:rsidR="00000000" w:rsidRPr="00000000">
        <w:rPr>
          <w:rFonts w:ascii="Arial" w:cs="Arial" w:eastAsia="Arial" w:hAnsi="Arial"/>
          <w:sz w:val="28"/>
          <w:szCs w:val="28"/>
          <w:shd w:fill="cccccc" w:val="clear"/>
          <w:rtl w:val="0"/>
        </w:rPr>
        <w:t xml:space="preserve">4. Conclusão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bookmarkStart w:colFirst="0" w:colLast="0" w:name="bookmark=kix.k836sxefea3b" w:id="2"/>
    <w:bookmarkEnd w:id="2"/>
    <w:p w:rsidR="00000000" w:rsidDel="00000000" w:rsidP="00000000" w:rsidRDefault="00000000" w:rsidRPr="00000000" w14:paraId="0000022E">
      <w:pPr>
        <w:spacing w:after="140" w:line="276" w:lineRule="auto"/>
        <w:ind w:left="130" w:right="850" w:firstLine="590"/>
        <w:jc w:val="both"/>
        <w:rPr>
          <w:rFonts w:ascii="Arial" w:cs="Arial" w:eastAsia="Arial" w:hAnsi="Arial"/>
        </w:rPr>
      </w:pPr>
      <w:r w:rsidDel="00000000" w:rsidR="00000000" w:rsidRPr="00000000">
        <w:rPr>
          <w:rFonts w:ascii="Arial" w:cs="Arial" w:eastAsia="Arial" w:hAnsi="Arial"/>
          <w:rtl w:val="0"/>
        </w:rPr>
        <w:t xml:space="preserve">Conforme as métricas utilizadas, a unidade gestora obteve uma pontuação final de 30 de um máximo de 630. Essa informação será melhor representada nos gráficos a seguir:</w:t>
      </w:r>
    </w:p>
    <w:p w:rsidR="00000000" w:rsidDel="00000000" w:rsidP="00000000" w:rsidRDefault="00000000" w:rsidRPr="00000000" w14:paraId="0000022F">
      <w:pPr>
        <w:spacing w:before="238" w:lineRule="auto"/>
        <w:ind w:left="-283" w:right="-227" w:firstLine="0"/>
        <w:rPr>
          <w:rFonts w:ascii="Arial" w:cs="Arial" w:eastAsia="Arial" w:hAnsi="Arial"/>
        </w:rPr>
      </w:pPr>
      <w:r w:rsidDel="00000000" w:rsidR="00000000" w:rsidRPr="00000000">
        <w:rPr>
          <w:rtl w:val="0"/>
        </w:rPr>
      </w:r>
    </w:p>
    <w:bookmarkStart w:colFirst="0" w:colLast="0" w:name="bookmark=kix.tioks4hjd3zi" w:id="3"/>
    <w:bookmarkEnd w:id="3"/>
    <w:p w:rsidR="00000000" w:rsidDel="00000000" w:rsidP="00000000" w:rsidRDefault="00000000" w:rsidRPr="00000000" w14:paraId="00000230">
      <w:pPr>
        <w:spacing w:before="23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2160000" cy="1620000"/>
            <wp:docPr id="1001" name="Picture 19"/>
            <wp:cNvGraphicFramePr>
              <a:graphicFrameLocks noChangeAspect="1"/>
            </wp:cNvGraphicFramePr>
            <a:graphic>
              <a:graphicData uri="http://schemas.openxmlformats.org/drawingml/2006/picture">
                <pic:pic>
                  <pic:nvPicPr>
                    <pic:cNvPr id="0" name="DonutPlanningInstrument.png"/>
                    <pic:cNvPicPr/>
                  </pic:nvPicPr>
                  <pic:blipFill>
                    <a:blip r:embed="rId14"/>
                    <a:stretch>
                      <a:fillRect/>
                    </a:stretch>
                  </pic:blipFill>
                  <pic:spPr>
                    <a:xfrm>
                      <a:off x="0" y="0"/>
                      <a:ext cx="2160000" cy="1620000"/>
                    </a:xfrm>
                    <a:prstGeom prst="rect"/>
                  </pic:spPr>
                </pic:pic>
              </a:graphicData>
            </a:graphic>
          </wp:inline>
        </w:drawing>
      </w:r>
      <w:r>
        <w:t xml:space="preserve"/>
      </w:r>
      <w:r>
        <w:drawing>
          <wp:inline>
            <wp:extent cx="2160000" cy="1620000"/>
            <wp:docPr id="1002" name="Picture 19"/>
            <wp:cNvGraphicFramePr>
              <a:graphicFrameLocks noChangeAspect="1"/>
            </wp:cNvGraphicFramePr>
            <a:graphic>
              <a:graphicData uri="http://schemas.openxmlformats.org/drawingml/2006/picture">
                <pic:pic>
                  <pic:nvPicPr>
                    <pic:cNvPr id="0" name="DonutExtraBudgetExpenditure.png"/>
                    <pic:cNvPicPr/>
                  </pic:nvPicPr>
                  <pic:blipFill>
                    <a:blip r:embed="rId15"/>
                    <a:stretch>
                      <a:fillRect/>
                    </a:stretch>
                  </pic:blipFill>
                  <pic:spPr>
                    <a:xfrm>
                      <a:off x="0" y="0"/>
                      <a:ext cx="2160000" cy="1620000"/>
                    </a:xfrm>
                    <a:prstGeom prst="rect"/>
                  </pic:spPr>
                </pic:pic>
              </a:graphicData>
            </a:graphic>
          </wp:inline>
        </w:drawing>
      </w:r>
      <w:r>
        <w:t xml:space="preserve"/>
      </w:r>
      <w:r>
        <w:drawing>
          <wp:inline>
            <wp:extent cx="2160000" cy="1620000"/>
            <wp:docPr id="1003" name="Picture 19"/>
            <wp:cNvGraphicFramePr>
              <a:graphicFrameLocks noChangeAspect="1"/>
            </wp:cNvGraphicFramePr>
            <a:graphic>
              <a:graphicData uri="http://schemas.openxmlformats.org/drawingml/2006/picture">
                <pic:pic>
                  <pic:nvPicPr>
                    <pic:cNvPr id="0" name="DonutBid.png"/>
                    <pic:cNvPicPr/>
                  </pic:nvPicPr>
                  <pic:blipFill>
                    <a:blip r:embed="rId16"/>
                    <a:stretch>
                      <a:fillRect/>
                    </a:stretch>
                  </pic:blipFill>
                  <pic:spPr>
                    <a:xfrm>
                      <a:off x="0" y="0"/>
                      <a:ext cx="2160000" cy="1620000"/>
                    </a:xfrm>
                    <a:prstGeom prst="rect"/>
                  </pic:spPr>
                </pic:pic>
              </a:graphicData>
            </a:graphic>
          </wp:inline>
        </w:drawing>
      </w:r>
      <w:r>
        <w:t xml:space="preserve"> </w:t>
      </w:r>
      <w:r>
        <w:drawing>
          <wp:inline>
            <wp:extent cx="2160000" cy="1620000"/>
            <wp:docPr id="1004" name="Picture 19"/>
            <wp:cNvGraphicFramePr>
              <a:graphicFrameLocks noChangeAspect="1"/>
            </wp:cNvGraphicFramePr>
            <a:graphic>
              <a:graphicData uri="http://schemas.openxmlformats.org/drawingml/2006/picture">
                <pic:pic>
                  <pic:nvPicPr>
                    <pic:cNvPr id="0" name="DonutContract.png"/>
                    <pic:cNvPicPr/>
                  </pic:nvPicPr>
                  <pic:blipFill>
                    <a:blip r:embed="rId17"/>
                    <a:stretch>
                      <a:fillRect/>
                    </a:stretch>
                  </pic:blipFill>
                  <pic:spPr>
                    <a:xfrm>
                      <a:off x="0" y="0"/>
                      <a:ext cx="2160000" cy="1620000"/>
                    </a:xfrm>
                    <a:prstGeom prst="rect"/>
                  </pic:spPr>
                </pic:pic>
              </a:graphicData>
            </a:graphic>
          </wp:inline>
        </w:drawing>
      </w:r>
      <w:r>
        <w:t xml:space="preserve"/>
      </w:r>
      <w:r>
        <w:drawing>
          <wp:inline>
            <wp:extent cx="2160000" cy="1620000"/>
            <wp:docPr id="1005" name="Picture 19"/>
            <wp:cNvGraphicFramePr>
              <a:graphicFrameLocks noChangeAspect="1"/>
            </wp:cNvGraphicFramePr>
            <a:graphic>
              <a:graphicData uri="http://schemas.openxmlformats.org/drawingml/2006/picture">
                <pic:pic>
                  <pic:nvPicPr>
                    <pic:cNvPr id="0" name="DonutAgreement.png"/>
                    <pic:cNvPicPr/>
                  </pic:nvPicPr>
                  <pic:blipFill>
                    <a:blip r:embed="rId18"/>
                    <a:stretch>
                      <a:fillRect/>
                    </a:stretch>
                  </pic:blipFill>
                  <pic:spPr>
                    <a:xfrm>
                      <a:off x="0" y="0"/>
                      <a:ext cx="2160000" cy="1620000"/>
                    </a:xfrm>
                    <a:prstGeom prst="rect"/>
                  </pic:spPr>
                </pic:pic>
              </a:graphicData>
            </a:graphic>
          </wp:inline>
        </w:drawing>
      </w:r>
      <w:r>
        <w:t xml:space="preserve"/>
      </w:r>
      <w:r>
        <w:drawing>
          <wp:inline>
            <wp:extent cx="2160000" cy="1620000"/>
            <wp:docPr id="1006" name="Picture 19"/>
            <wp:cNvGraphicFramePr>
              <a:graphicFrameLocks noChangeAspect="1"/>
            </wp:cNvGraphicFramePr>
            <a:graphic>
              <a:graphicData uri="http://schemas.openxmlformats.org/drawingml/2006/picture">
                <pic:pic>
                  <pic:nvPicPr>
                    <pic:cNvPr id="0" name="DonutBudgetRevenue.png"/>
                    <pic:cNvPicPr/>
                  </pic:nvPicPr>
                  <pic:blipFill>
                    <a:blip r:embed="rId19"/>
                    <a:stretch>
                      <a:fillRect/>
                    </a:stretch>
                  </pic:blipFill>
                  <pic:spPr>
                    <a:xfrm>
                      <a:off x="0" y="0"/>
                      <a:ext cx="2160000" cy="1620000"/>
                    </a:xfrm>
                    <a:prstGeom prst="rect"/>
                  </pic:spPr>
                </pic:pic>
              </a:graphicData>
            </a:graphic>
          </wp:inline>
        </w:drawing>
      </w:r>
      <w:r>
        <w:t xml:space="preserve"> </w:t>
      </w:r>
      <w:r>
        <w:drawing>
          <wp:inline>
            <wp:extent cx="2160000" cy="1620000"/>
            <wp:docPr id="1007" name="Picture 19"/>
            <wp:cNvGraphicFramePr>
              <a:graphicFrameLocks noChangeAspect="1"/>
            </wp:cNvGraphicFramePr>
            <a:graphic>
              <a:graphicData uri="http://schemas.openxmlformats.org/drawingml/2006/picture">
                <pic:pic>
                  <pic:nvPicPr>
                    <pic:cNvPr id="0" name="DonutExtraBudgetRevenue.png"/>
                    <pic:cNvPicPr/>
                  </pic:nvPicPr>
                  <pic:blipFill>
                    <a:blip r:embed="rId20"/>
                    <a:stretch>
                      <a:fillRect/>
                    </a:stretch>
                  </pic:blipFill>
                  <pic:spPr>
                    <a:xfrm>
                      <a:off x="0" y="0"/>
                      <a:ext cx="2160000" cy="1620000"/>
                    </a:xfrm>
                    <a:prstGeom prst="rect"/>
                  </pic:spPr>
                </pic:pic>
              </a:graphicData>
            </a:graphic>
          </wp:inline>
        </w:drawing>
      </w:r>
      <w:r>
        <w:t xml:space="preserve"/>
      </w:r>
      <w:r>
        <w:drawing>
          <wp:inline>
            <wp:extent cx="2160000" cy="1620000"/>
            <wp:docPr id="1008" name="Picture 19"/>
            <wp:cNvGraphicFramePr>
              <a:graphicFrameLocks noChangeAspect="1"/>
            </wp:cNvGraphicFramePr>
            <a:graphic>
              <a:graphicData uri="http://schemas.openxmlformats.org/drawingml/2006/picture">
                <pic:pic>
                  <pic:nvPicPr>
                    <pic:cNvPr id="0" name="DonutBudgetExpenditure.png"/>
                    <pic:cNvPicPr/>
                  </pic:nvPicPr>
                  <pic:blipFill>
                    <a:blip r:embed="rId21"/>
                    <a:stretch>
                      <a:fillRect/>
                    </a:stretch>
                  </pic:blipFill>
                  <pic:spPr>
                    <a:xfrm>
                      <a:off x="0" y="0"/>
                      <a:ext cx="2160000" cy="1620000"/>
                    </a:xfrm>
                    <a:prstGeom prst="rect"/>
                  </pic:spPr>
                </pic:pic>
              </a:graphicData>
            </a:graphic>
          </wp:inline>
        </w:drawing>
      </w:r>
      <w:r>
        <w:t xml:space="preserve"/>
      </w:r>
      <w:r>
        <w:drawing>
          <wp:inline>
            <wp:extent cx="2160000" cy="1620000"/>
            <wp:docPr id="1009" name="Picture 19"/>
            <wp:cNvGraphicFramePr>
              <a:graphicFrameLocks noChangeAspect="1"/>
            </wp:cNvGraphicFramePr>
            <a:graphic>
              <a:graphicData uri="http://schemas.openxmlformats.org/drawingml/2006/picture">
                <pic:pic>
                  <pic:nvPicPr>
                    <pic:cNvPr id="0" name="DonutPaymentDocument.png"/>
                    <pic:cNvPicPr/>
                  </pic:nvPicPr>
                  <pic:blipFill>
                    <a:blip r:embed="rId22"/>
                    <a:stretch>
                      <a:fillRect/>
                    </a:stretch>
                  </pic:blipFill>
                  <pic:spPr>
                    <a:xfrm>
                      <a:off x="0" y="0"/>
                      <a:ext cx="2160000" cy="1620000"/>
                    </a:xfrm>
                    <a:prstGeom prst="rect"/>
                  </pic:spPr>
                </pic:pic>
              </a:graphicData>
            </a:graphic>
          </wp:inline>
        </w:drawing>
      </w:r>
      <w:r>
        <w:t xml:space="preserve"/>
      </w:r>
      <w:r>
        <w:drawing>
          <wp:inline>
            <wp:extent cx="2160000" cy="1620000"/>
            <wp:docPr id="1010" name="Picture 19"/>
            <wp:cNvGraphicFramePr>
              <a:graphicFrameLocks noChangeAspect="1"/>
            </wp:cNvGraphicFramePr>
            <a:graphic>
              <a:graphicData uri="http://schemas.openxmlformats.org/drawingml/2006/picture">
                <pic:pic>
                  <pic:nvPicPr>
                    <pic:cNvPr id="0" name="DonutEmployeeInformation.png"/>
                    <pic:cNvPicPr/>
                  </pic:nvPicPr>
                  <pic:blipFill>
                    <a:blip r:embed="rId23"/>
                    <a:stretch>
                      <a:fillRect/>
                    </a:stretch>
                  </pic:blipFill>
                  <pic:spPr>
                    <a:xfrm>
                      <a:off x="0" y="0"/>
                      <a:ext cx="2160000" cy="1620000"/>
                    </a:xfrm>
                    <a:prstGeom prst="rect"/>
                  </pic:spPr>
                </pic:pic>
              </a:graphicData>
            </a:graphic>
          </wp:inline>
        </w:drawing>
      </w:r>
      <w:r>
        <w:t xml:space="preserve"/>
      </w:r>
    </w:p>
    <w:p w:rsidR="00000000" w:rsidDel="00000000" w:rsidP="00000000" w:rsidRDefault="00000000" w:rsidRPr="00000000" w14:paraId="00000231">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2">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p>
    <w:p w:rsidR="00000000" w:rsidDel="00000000" w:rsidP="00000000" w:rsidRDefault="00000000" w:rsidRPr="00000000" w14:paraId="00000233">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6480000" cy="3789717"/>
            <wp:docPr id="1011" name="Picture 19"/>
            <wp:cNvGraphicFramePr>
              <a:graphicFrameLocks noChangeAspect="1"/>
            </wp:cNvGraphicFramePr>
            <a:graphic>
              <a:graphicData uri="http://schemas.openxmlformats.org/drawingml/2006/picture">
                <pic:pic>
                  <pic:nvPicPr>
                    <pic:cNvPr id="0" name="ChartPerformance.png"/>
                    <pic:cNvPicPr/>
                  </pic:nvPicPr>
                  <pic:blipFill>
                    <a:blip r:embed="rId24"/>
                    <a:stretch>
                      <a:fillRect/>
                    </a:stretch>
                  </pic:blipFill>
                  <pic:spPr>
                    <a:xfrm>
                      <a:off x="0" y="0"/>
                      <a:ext cx="6480000" cy="3789717"/>
                    </a:xfrm>
                    <a:prstGeom prst="rect"/>
                  </pic:spPr>
                </pic:pic>
              </a:graphicData>
            </a:graphic>
          </wp:inline>
        </w:drawing>
      </w:r>
      <w:r>
        <w:t xml:space="preserve"/>
      </w:r>
    </w:p>
    <w:p w:rsidR="00000000" w:rsidDel="00000000" w:rsidP="00000000" w:rsidRDefault="00000000" w:rsidRPr="00000000" w14:paraId="00000234">
      <w:pPr>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Ante o exposto, segundo avaliação da robô Turmalina, o município obteve a nota 0,5 em seu portal de transparência, o que equivale a atingir 5% dos itens analisados.</w:t>
      </w:r>
    </w:p>
    <w:p w:rsidR="00000000" w:rsidDel="00000000" w:rsidP="00000000" w:rsidRDefault="00000000" w:rsidRPr="00000000" w14:paraId="00000235">
      <w:pPr>
        <w:spacing w:before="237"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36">
      <w:pPr>
        <w:spacing w:before="237" w:lineRule="auto"/>
        <w:ind w:firstLine="720"/>
        <w:jc w:val="center"/>
        <w:rPr>
          <w:rFonts w:ascii="Arial" w:cs="Arial" w:eastAsia="Arial" w:hAnsi="Arial"/>
          <w:color w:val="cc0000"/>
        </w:rPr>
      </w:pPr>
      <w:r w:rsidDel="00000000" w:rsidR="00000000" w:rsidRPr="00000000">
        <w:rPr>
          <w:rFonts w:ascii="Arial" w:cs="Arial" w:eastAsia="Arial" w:hAnsi="Arial"/>
          <w:color w:val="cc0000"/>
          <w:rtl w:val="0"/>
        </w:rPr>
        <w:t xml:space="preserve">Aviso: Os municípios com Porcentagem menor que 50% estão sujeitos à emissão de alerta pelo Tribunal de Contas.</w:t>
      </w:r>
    </w:p>
    <w:p w:rsidR="00000000" w:rsidDel="00000000" w:rsidP="00000000" w:rsidRDefault="00000000" w:rsidRPr="00000000" w14:paraId="00000237">
      <w:pPr>
        <w:spacing w:before="237" w:lineRule="auto"/>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8">
      <w:pPr>
        <w:spacing w:before="237" w:lineRule="auto"/>
        <w:jc w:val="center"/>
        <w:rPr>
          <w:rFonts w:ascii="Arial" w:cs="Arial" w:eastAsia="Arial" w:hAnsi="Arial"/>
        </w:rPr>
      </w:pPr>
      <w:r w:rsidDel="00000000" w:rsidR="00000000" w:rsidRPr="00000000">
        <w:rPr>
          <w:rFonts w:ascii="Arial" w:cs="Arial" w:eastAsia="Arial" w:hAnsi="Arial"/>
          <w:sz w:val="30"/>
          <w:szCs w:val="30"/>
          <w:rtl w:val="0"/>
        </w:rPr>
        <w:t xml:space="preserve">É o Relatório.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1824038</wp:posOffset>
            </wp:positionH>
            <wp:positionV relativeFrom="paragraph">
              <wp:posOffset>952449</wp:posOffset>
            </wp:positionV>
            <wp:extent cx="2428689" cy="970383"/>
            <wp:effectExtent b="0" l="0" r="0" t="0"/>
            <wp:wrapNone/>
            <wp:docPr id="10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689" cy="970383"/>
                    </a:xfrm>
                    <a:prstGeom prst="rect"/>
                    <a:ln/>
                  </pic:spPr>
                </pic:pic>
              </a:graphicData>
            </a:graphic>
          </wp:anchor>
        </w:drawing>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08" w:top="2164" w:left="1134"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128400</wp:posOffset>
          </wp:positionV>
          <wp:extent cx="523240" cy="523240"/>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23240" cy="5232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6119820</wp:posOffset>
          </wp:positionH>
          <wp:positionV relativeFrom="paragraph">
            <wp:posOffset>99825</wp:posOffset>
          </wp:positionV>
          <wp:extent cx="552450" cy="581025"/>
          <wp:effectExtent b="0" l="0" r="0" t="0"/>
          <wp:wrapNone/>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2450" cy="581025"/>
                  </a:xfrm>
                  <a:prstGeom prst="rect"/>
                  <a:ln/>
                </pic:spPr>
              </pic:pic>
            </a:graphicData>
          </a:graphic>
        </wp:anchor>
      </w:drawing>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Este relatório é peça inerente à instrução do processo. Seu conteúdo NÃO constitui o posicionamento final do TCE-PB a respeito da matéria.</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4438650</wp:posOffset>
          </wp:positionH>
          <wp:positionV relativeFrom="paragraph">
            <wp:posOffset>1178398</wp:posOffset>
          </wp:positionV>
          <wp:extent cx="2942408" cy="8316570"/>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42408" cy="831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-179703</wp:posOffset>
          </wp:positionH>
          <wp:positionV relativeFrom="paragraph">
            <wp:posOffset>190486</wp:posOffset>
          </wp:positionV>
          <wp:extent cx="7590790" cy="7334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90790" cy="7334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qFormat w:val="1"/>
  </w:style>
  <w:style w:type="paragraph" w:styleId="Ttu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Marcadores" w:customStyle="1">
    <w:name w:val="Marcadores"/>
    <w:qFormat w:val="1"/>
    <w:rPr>
      <w:rFonts w:ascii="OpenSymbol" w:cs="OpenSymbol" w:eastAsia="OpenSymbol" w:hAnsi="OpenSymbol"/>
    </w:rPr>
  </w:style>
  <w:style w:type="paragraph" w:styleId="Ttulo">
    <w:name w:val="Title"/>
    <w:basedOn w:val="LO-normal"/>
    <w:next w:val="Corpodetexto"/>
    <w:uiPriority w:val="10"/>
    <w:qFormat w:val="1"/>
    <w:pPr>
      <w:keepNext w:val="1"/>
      <w:keepLines w:val="1"/>
      <w:spacing w:after="60" w:before="237" w:line="240" w:lineRule="auto"/>
      <w:jc w:val="center"/>
    </w:pPr>
    <w:rPr>
      <w:b w:val="1"/>
      <w:sz w:val="30"/>
      <w:szCs w:val="30"/>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abealhoeRodap" w:customStyle="1">
    <w:name w:val="Cabeçalho e Rodapé"/>
    <w:basedOn w:val="Normal"/>
    <w:qFormat w:val="1"/>
    <w:pPr>
      <w:suppressLineNumbers w:val="1"/>
      <w:tabs>
        <w:tab w:val="center" w:pos="4819"/>
        <w:tab w:val="right" w:pos="9638"/>
      </w:tabs>
    </w:pPr>
  </w:style>
  <w:style w:type="paragraph" w:styleId="Cabealho">
    <w:name w:val="header"/>
    <w:basedOn w:val="CabealhoeRodap"/>
  </w:style>
  <w:style w:type="paragraph" w:styleId="Rodap">
    <w:name w:val="footer"/>
    <w:basedOn w:val="CabealhoeRodap"/>
  </w:style>
  <w:style w:type="paragraph" w:styleId="LO-normal" w:customStyle="1">
    <w:name w:val="LO-normal"/>
    <w:qFormat w:val="1"/>
    <w:pPr>
      <w:spacing w:line="276" w:lineRule="auto"/>
    </w:pPr>
  </w:style>
  <w:style w:type="paragraph" w:styleId="LO-normal1" w:customStyle="1">
    <w:name w:val="LO-normal1"/>
    <w:qFormat w:val="1"/>
    <w:pPr>
      <w:spacing w:line="276" w:lineRule="auto"/>
    </w:pPr>
  </w:style>
  <w:style w:type="paragraph" w:styleId="Contedodatabela" w:customStyle="1">
    <w:name w:val="Conteúdo da tabela"/>
    <w:basedOn w:val="Normal"/>
    <w:qFormat w:val="1"/>
    <w:pPr>
      <w:widowControl w:val="0"/>
      <w:suppressLineNumbers w:val="1"/>
    </w:pPr>
  </w:style>
  <w:style w:type="paragraph" w:styleId="Ttulodetabela" w:customStyle="1">
    <w:name w:val="Título de tabela"/>
    <w:basedOn w:val="Contedodatabela"/>
    <w:qFormat w:val="1"/>
    <w:pPr>
      <w:jc w:val="center"/>
    </w:pPr>
    <w:rPr>
      <w:b w:val="1"/>
      <w:bCs w:val="1"/>
    </w:rPr>
  </w:style>
  <w:style w:type="character" w:styleId="CorpodetextoChar" w:customStyle="1">
    <w:name w:val="Corpo de texto Char"/>
    <w:basedOn w:val="Fontepargpadro"/>
    <w:link w:val="Corpodetexto"/>
    <w:rsid w:val="00AF33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vcxG0IrwrK45HhNbhGg/0YL2Q==">CgMxLjAyCGguZ2pkZ3hzMgloLjMwajB6bGwyEGtpeC5rODM2c3hlZmVhM2IyEGtpeC50aW9rczRoamQzemk4AHIhMVFlNGUwcHdvVzFsclRpNjRhYnRmNGdaU3oyRlZNN1NQ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2022-08-23T23:35:00Z</dcterms:created>
  <dc:creator>Gabriel Araújo</dc:creator>
</cp:coreProperties>
</file>