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12" w:val="single"/>
        </w:pBd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CF05 · Modelo de Negócios - Business Model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4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15285.0" w:type="dxa"/>
        <w:jc w:val="left"/>
        <w:tblInd w:w="-115.0" w:type="dxa"/>
        <w:tblLayout w:type="fixed"/>
        <w:tblLook w:val="0400"/>
      </w:tblPr>
      <w:tblGrid>
        <w:gridCol w:w="7410"/>
        <w:gridCol w:w="7875"/>
        <w:tblGridChange w:id="0">
          <w:tblGrid>
            <w:gridCol w:w="7410"/>
            <w:gridCol w:w="787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40.0" w:type="dxa"/>
              <w:left w:w="28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O BMC descreve em um único quadro como a empresa cria, entrega e captura valor. É um mapa de hipóteses, não um plano definitivo. Atualize sempre que um experimento invalidar uma suposição.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20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PERGUNTAS-CHAVE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01  Sustentabilidade - As fontes de receita cobrem os custos da operação?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02  Canais - Por quais meios o cliente prefere ser alcançado?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03  Escalabilidade - O modelo cresce sem aumentar custos na mesma proporção?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Business Model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4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com as hipóteses atuais. Use frases curtas e objetivas.</w:t>
      </w:r>
      <w:r w:rsidDel="00000000" w:rsidR="00000000" w:rsidRPr="00000000">
        <w:rPr>
          <w:rtl w:val="0"/>
        </w:rPr>
      </w:r>
    </w:p>
    <w:tbl>
      <w:tblPr>
        <w:tblStyle w:val="Table2"/>
        <w:tblW w:w="15270.0" w:type="dxa"/>
        <w:jc w:val="left"/>
        <w:tblInd w:w="-160.0" w:type="dxa"/>
        <w:tblLayout w:type="fixed"/>
        <w:tblLook w:val="0400"/>
      </w:tblPr>
      <w:tblGrid>
        <w:gridCol w:w="2715"/>
        <w:gridCol w:w="3150"/>
        <w:gridCol w:w="2640"/>
        <w:gridCol w:w="3705"/>
        <w:gridCol w:w="3060"/>
        <w:tblGridChange w:id="0">
          <w:tblGrid>
            <w:gridCol w:w="2715"/>
            <w:gridCol w:w="3150"/>
            <w:gridCol w:w="2640"/>
            <w:gridCol w:w="3705"/>
            <w:gridCol w:w="3060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vMerge w:val="restart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PARCERIAS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Quem são os fornecedores e parceiros estratégicos?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ATIVIDADES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O que a empresa faz para entregar a proposta de valor?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2e2e2e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d9d9d9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5"/>
                <w:szCs w:val="15"/>
                <w:rtl w:val="0"/>
              </w:rPr>
              <w:t xml:space="preserve">Qual valor você entrega? Qual problema resolve? Que benefício oferece?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RELACIONAMENTO COM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Como a empresa constrói e mantém relação com os clientes?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SEGMENTOS DE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Para quem a empresa cria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vMerge w:val="continue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7f7f7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RECURSOS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Quais ativos são indispensáveis para entregar a proposta de valor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2e2e2e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Como a empresa entrega a proposta e alcança seus clientes?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gridSpan w:val="3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▽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ESTRUTURA DE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Quais são os custos mais relevantes? Quais recursos e atividades são mais caros?</w:t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7f7f7" w:val="clear"/>
            <w:tcMar>
              <w:top w:w="14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FONTES DE RECEITA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Por qual valor os clientes pagam? Como preferem pagar?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Diagnóstico de Viabilidade</w:t>
      </w:r>
      <w:r w:rsidDel="00000000" w:rsidR="00000000" w:rsidRPr="00000000">
        <w:rPr>
          <w:rtl w:val="0"/>
        </w:rPr>
      </w:r>
    </w:p>
    <w:tbl>
      <w:tblPr>
        <w:tblStyle w:val="Table3"/>
        <w:tblW w:w="15330.0" w:type="dxa"/>
        <w:jc w:val="left"/>
        <w:tblInd w:w="-160.0" w:type="dxa"/>
        <w:tblLayout w:type="fixed"/>
        <w:tblLook w:val="0400"/>
      </w:tblPr>
      <w:tblGrid>
        <w:gridCol w:w="7575"/>
        <w:gridCol w:w="7755"/>
        <w:tblGridChange w:id="0">
          <w:tblGrid>
            <w:gridCol w:w="7575"/>
            <w:gridCol w:w="77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0f0f0" w:val="clear"/>
            <w:tcMar>
              <w:top w:w="12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◈  Bloco mais incerto e/ou arriscado hoje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Identifique o bloco do Canvas que contém a suposição de maior risco. Qual deles, se errado, invalida o modelo?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0f0f0" w:val="clear"/>
            <w:tcMar>
              <w:top w:w="12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▲  Principal hipótese a testar no próximo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Defina a suposição prioritária. Conecte com o Cartão de Teste (CF03) para estruturar o experimento.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Desdobramentos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Próximos Passos</w:t>
      </w:r>
      <w:r w:rsidDel="00000000" w:rsidR="00000000" w:rsidRPr="00000000">
        <w:rPr>
          <w:rtl w:val="0"/>
        </w:rPr>
      </w:r>
    </w:p>
    <w:tbl>
      <w:tblPr>
        <w:tblStyle w:val="Table4"/>
        <w:tblW w:w="15330.0" w:type="dxa"/>
        <w:jc w:val="left"/>
        <w:tblInd w:w="-145.0" w:type="dxa"/>
        <w:tblLayout w:type="fixed"/>
        <w:tblLook w:val="0400"/>
      </w:tblPr>
      <w:tblGrid>
        <w:gridCol w:w="15330"/>
        <w:tblGridChange w:id="0">
          <w:tblGrid>
            <w:gridCol w:w="1533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CANVAS PREENCHIDO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7"/>
                <w:szCs w:val="17"/>
                <w:rtl w:val="0"/>
              </w:rPr>
              <w:t xml:space="preserve">◎  Comunicação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Use o Canvas para apresentar a estratégia de forma rápida a novos membros do time, mentores e investidores. Um Canvas claro vale mais do que dez slides.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6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7"/>
                <w:szCs w:val="17"/>
                <w:rtl w:val="0"/>
              </w:rPr>
              <w:t xml:space="preserve">▲  Canvas Vivo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Mantenha o Canvas atualizado. Sempre que um experimento (CF03) invalidar uma suposição, atualize o bloco correspondente e documente a versão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7"/>
                <w:szCs w:val="17"/>
                <w:rtl w:val="0"/>
              </w:rPr>
              <w:t xml:space="preserve">◈  Próxima Ferramenta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Com o Canvas preenchido, avance para a Contabilidade para Inovação (CF06) e defina os marcos de aprendizado do próximo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1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BMC não é um plano definitivo. É um mapa de hipóteses a serem validadas. Startups que tratam o Canvas como documento fixo deixam de aprender.</w:t>
      </w: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pLKuDg/XNRL62PTPKy89c3zUw==">CgMxLjA4AHIhMThlQ2p1UEdKaHF2MUd6MWMwWGVFVEpQNnBUaXJCMmpJ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