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50" w:before="0" w:lineRule="auto"/>
        <w:rPr>
          <w:color w:val="88888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888888"/>
          <w:sz w:val="16"/>
          <w:szCs w:val="16"/>
          <w:rtl w:val="0"/>
        </w:rPr>
        <w:t xml:space="preserve">SCALE-UP  ·  DESENVOLVIMENTO DO NEGÓCIO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bottom w:color="cccccc" w:space="4" w:sz="6" w:val="single"/>
        </w:pBdr>
        <w:spacing w:after="5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44"/>
          <w:szCs w:val="44"/>
          <w:rtl w:val="0"/>
        </w:rPr>
        <w:t xml:space="preserve">SC03 · Marketing e Vendas Escaláveis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60" w:before="50" w:lineRule="auto"/>
        <w:rPr>
          <w:color w:val="888888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18"/>
          <w:szCs w:val="18"/>
          <w:rtl w:val="0"/>
        </w:rPr>
        <w:t xml:space="preserve">Pilar: Desenvolvimento do Negócio  |  Estágio: Scale-Up</w:t>
      </w:r>
      <w:r w:rsidDel="00000000" w:rsidR="00000000" w:rsidRPr="00000000">
        <w:rPr>
          <w:rtl w:val="0"/>
        </w:rPr>
      </w:r>
    </w:p>
    <w:tbl>
      <w:tblPr>
        <w:tblStyle w:val="Table1"/>
        <w:tblW w:w="10080.0" w:type="dxa"/>
        <w:jc w:val="left"/>
        <w:tblInd w:w="-260.0" w:type="dxa"/>
        <w:tblLayout w:type="fixed"/>
        <w:tblLook w:val="04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888888" w:space="0" w:sz="16" w:val="single"/>
              <w:bottom w:color="000000" w:space="0" w:sz="0" w:val="nil"/>
              <w:right w:color="000000" w:space="0" w:sz="0" w:val="nil"/>
            </w:tcBorders>
            <w:shd w:fill="eeeeee" w:val="clear"/>
            <w:tcMar>
              <w:top w:w="160.0" w:type="dxa"/>
              <w:left w:w="260.0" w:type="dxa"/>
              <w:bottom w:w="16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after="5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888888"/>
                <w:sz w:val="16"/>
                <w:szCs w:val="16"/>
                <w:rtl w:val="0"/>
              </w:rPr>
              <w:t xml:space="preserve">VISÃO ESTRATÉGICA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2"/>
                <w:szCs w:val="22"/>
                <w:rtl w:val="0"/>
              </w:rPr>
              <w:t xml:space="preserve">Em Scale-Up, marketing e vendas devem trabalhar como uma única engrenagem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rtl w:val="0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2"/>
                <w:szCs w:val="22"/>
                <w:rtl w:val="0"/>
              </w:rPr>
              <w:t xml:space="preserve">RevOps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2"/>
                <w:szCs w:val="22"/>
                <w:rtl w:val="0"/>
              </w:rPr>
              <w:t xml:space="preserve">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color w:val="888888"/>
                <w:sz w:val="18"/>
                <w:szCs w:val="18"/>
                <w:rtl w:val="0"/>
              </w:rPr>
              <w:t xml:space="preserve">O ABM foca em contas de alto valor com estratégias personalizadas, enquanto o Sales Playbook garante que a abordagem comercial seja replicável e escalável por qualquer membro do time.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7">
      <w:pPr>
        <w:pBdr>
          <w:bottom w:color="cccccc" w:space="4" w:sz="6" w:val="single"/>
        </w:pBdr>
        <w:spacing w:after="80" w:before="0" w:lineRule="auto"/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8"/>
          <w:szCs w:val="28"/>
          <w:rtl w:val="0"/>
        </w:rPr>
        <w:t xml:space="preserve">Perguntas-Chave - Reflexão Crítica</w:t>
      </w:r>
      <w:r w:rsidDel="00000000" w:rsidR="00000000" w:rsidRPr="00000000">
        <w:rPr>
          <w:rtl w:val="0"/>
        </w:rPr>
      </w:r>
    </w:p>
    <w:tbl>
      <w:tblPr>
        <w:tblStyle w:val="Table2"/>
        <w:tblW w:w="9930.0" w:type="dxa"/>
        <w:jc w:val="left"/>
        <w:tblInd w:w="-120.0" w:type="dxa"/>
        <w:tblLayout w:type="fixed"/>
        <w:tblLook w:val="0400"/>
      </w:tblPr>
      <w:tblGrid>
        <w:gridCol w:w="3975"/>
        <w:gridCol w:w="5955"/>
        <w:tblGridChange w:id="0">
          <w:tblGrid>
            <w:gridCol w:w="3975"/>
            <w:gridCol w:w="5955"/>
          </w:tblGrid>
        </w:tblGridChange>
      </w:tblGrid>
      <w:tr>
        <w:trPr>
          <w:cantSplit w:val="0"/>
          <w:trHeight w:val="7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90.0" w:type="dxa"/>
              <w:left w:w="12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7f7f7" w:val="clear"/>
            <w:tcMar>
              <w:top w:w="90.0" w:type="dxa"/>
              <w:left w:w="160.0" w:type="dxa"/>
              <w:bottom w:w="9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16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0"/>
                <w:szCs w:val="20"/>
                <w:rtl w:val="0"/>
              </w:rPr>
              <w:t xml:space="preserve">Alinhamento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Marketing e vendas compartilham a mesma definição de lead qualificado (MQL vs SQL)?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4a4a4a" w:val="clear"/>
            <w:tcMar>
              <w:top w:w="90.0" w:type="dxa"/>
              <w:left w:w="12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7f7f7" w:val="clear"/>
            <w:tcMar>
              <w:top w:w="90.0" w:type="dxa"/>
              <w:left w:w="160.0" w:type="dxa"/>
              <w:bottom w:w="9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16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0"/>
                <w:szCs w:val="20"/>
                <w:rtl w:val="0"/>
              </w:rPr>
              <w:t xml:space="preserve">ABM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Temos uma lista de contas estratégicas de alto valor sendo trabalhadas com abordagem personalizada?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90.0" w:type="dxa"/>
              <w:left w:w="12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7f7f7" w:val="clear"/>
            <w:tcMar>
              <w:top w:w="90.0" w:type="dxa"/>
              <w:left w:w="160.0" w:type="dxa"/>
              <w:bottom w:w="9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16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0"/>
                <w:szCs w:val="20"/>
                <w:rtl w:val="0"/>
              </w:rPr>
              <w:t xml:space="preserve">RevOps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Existe um dashboard único que mostra a performance integrada de marketing e vendas?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1">
      <w:pPr>
        <w:pBdr>
          <w:bottom w:color="cccccc" w:space="4" w:sz="6" w:val="single"/>
        </w:pBdr>
        <w:spacing w:after="80" w:before="0" w:lineRule="auto"/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8"/>
          <w:szCs w:val="28"/>
          <w:rtl w:val="0"/>
        </w:rPr>
        <w:t xml:space="preserve">Alinhamento Marketing e Vendas - MQL vs 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00" w:before="30" w:lineRule="auto"/>
        <w:jc w:val="both"/>
        <w:rPr>
          <w:color w:val="888888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18"/>
          <w:szCs w:val="18"/>
          <w:rtl w:val="0"/>
        </w:rPr>
        <w:t xml:space="preserve">Defina os critérios de qualificação em conjunto. Conflito entre marketing e vendas começa aqui.</w:t>
      </w:r>
      <w:r w:rsidDel="00000000" w:rsidR="00000000" w:rsidRPr="00000000">
        <w:rPr>
          <w:rtl w:val="0"/>
        </w:rPr>
      </w:r>
    </w:p>
    <w:tbl>
      <w:tblPr>
        <w:tblStyle w:val="Table3"/>
        <w:tblW w:w="9930.0" w:type="dxa"/>
        <w:jc w:val="left"/>
        <w:tblInd w:w="-200.0" w:type="dxa"/>
        <w:tblLayout w:type="fixed"/>
        <w:tblLook w:val="0400"/>
      </w:tblPr>
      <w:tblGrid>
        <w:gridCol w:w="9930"/>
        <w:tblGridChange w:id="0">
          <w:tblGrid>
            <w:gridCol w:w="9930"/>
          </w:tblGrid>
        </w:tblGridChange>
      </w:tblGrid>
      <w:tr>
        <w:trPr>
          <w:cantSplit w:val="0"/>
          <w:trHeight w:val="4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100.0" w:type="dxa"/>
              <w:left w:w="200.0" w:type="dxa"/>
              <w:bottom w:w="8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14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4"/>
                <w:szCs w:val="24"/>
                <w:rtl w:val="0"/>
              </w:rPr>
              <w:t xml:space="preserve">◎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MQL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 Marketing Qualified Lead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6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2f2f2" w:val="clear"/>
            <w:tcMar>
              <w:top w:w="12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Lead demonstrou interesse suficiente para ser trabalhado pelo time de marketing. Critérios: cargo, setor, comportamento digital, lead score.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960.0" w:type="dxa"/>
        <w:jc w:val="left"/>
        <w:tblInd w:w="-200.0" w:type="dxa"/>
        <w:tblLayout w:type="fixed"/>
        <w:tblLook w:val="0400"/>
      </w:tblPr>
      <w:tblGrid>
        <w:gridCol w:w="9960"/>
        <w:tblGridChange w:id="0">
          <w:tblGrid>
            <w:gridCol w:w="9960"/>
          </w:tblGrid>
        </w:tblGridChange>
      </w:tblGrid>
      <w:tr>
        <w:trPr>
          <w:cantSplit w:val="0"/>
          <w:trHeight w:val="4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100.0" w:type="dxa"/>
              <w:left w:w="200.0" w:type="dxa"/>
              <w:bottom w:w="8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14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4"/>
                <w:szCs w:val="24"/>
                <w:rtl w:val="0"/>
              </w:rPr>
              <w:t xml:space="preserve">◈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SQL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 Sales Qualified Lead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6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2f2f2" w:val="clear"/>
            <w:tcMar>
              <w:top w:w="12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Lead que foi qualificado pelo time de vendas como tendo perfil, dor confirmada e orçamento. Critérios: BANT, reunião de discovery realizada.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8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960.0" w:type="dxa"/>
        <w:jc w:val="left"/>
        <w:tblInd w:w="-200.0" w:type="dxa"/>
        <w:tblLayout w:type="fixed"/>
        <w:tblLook w:val="0400"/>
      </w:tblPr>
      <w:tblGrid>
        <w:gridCol w:w="9960"/>
        <w:tblGridChange w:id="0">
          <w:tblGrid>
            <w:gridCol w:w="9960"/>
          </w:tblGrid>
        </w:tblGridChange>
      </w:tblGrid>
      <w:tr>
        <w:trPr>
          <w:cantSplit w:val="0"/>
          <w:trHeight w:val="4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100.0" w:type="dxa"/>
              <w:left w:w="200.0" w:type="dxa"/>
              <w:bottom w:w="8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14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4"/>
                <w:szCs w:val="24"/>
                <w:rtl w:val="0"/>
              </w:rPr>
              <w:t xml:space="preserve">▲  </w:t>
            </w:r>
            <w:sdt>
              <w:sdtPr>
                <w:id w:val="546265517"/>
                <w:tag w:val="goog_rdk_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2"/>
                    <w:szCs w:val="22"/>
                    <w:rtl w:val="0"/>
                  </w:rPr>
                  <w:t xml:space="preserve">SLA Marketing → </w:t>
                </w:r>
              </w:sdtContent>
            </w:sdt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Vendas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6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2f2f2" w:val="clear"/>
            <w:tcMar>
              <w:top w:w="12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Em quanto tempo o time de vendas deve abordar um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MQL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 após a transferência? Qual é o processo de devolução?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14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bottom w:color="cccccc" w:space="4" w:sz="6" w:val="single"/>
        </w:pBd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8"/>
          <w:szCs w:val="28"/>
          <w:rtl w:val="0"/>
        </w:rPr>
        <w:t xml:space="preserve">Estratégia ABM - Account-Based Marketing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100" w:before="30" w:lineRule="auto"/>
        <w:jc w:val="both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9a9a9a"/>
          <w:sz w:val="18"/>
          <w:szCs w:val="18"/>
          <w:rtl w:val="0"/>
        </w:rPr>
        <w:t xml:space="preserve">ABM inverte o funil: você escolhe as contas antes de fazer marketing. Ideal para contratos de alto valor e ciclos longos.</w:t>
      </w:r>
      <w:r w:rsidDel="00000000" w:rsidR="00000000" w:rsidRPr="00000000">
        <w:rPr>
          <w:rtl w:val="0"/>
        </w:rPr>
      </w:r>
    </w:p>
    <w:tbl>
      <w:tblPr>
        <w:tblStyle w:val="Table6"/>
        <w:tblW w:w="9915.0" w:type="dxa"/>
        <w:jc w:val="left"/>
        <w:tblInd w:w="-200.0" w:type="dxa"/>
        <w:tblLayout w:type="fixed"/>
        <w:tblLook w:val="0400"/>
      </w:tblPr>
      <w:tblGrid>
        <w:gridCol w:w="9915"/>
        <w:tblGridChange w:id="0">
          <w:tblGrid>
            <w:gridCol w:w="9915"/>
          </w:tblGrid>
        </w:tblGridChange>
      </w:tblGrid>
      <w:tr>
        <w:trPr>
          <w:cantSplit w:val="0"/>
          <w:trHeight w:val="4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100.0" w:type="dxa"/>
              <w:left w:w="200.0" w:type="dxa"/>
              <w:bottom w:w="8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14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4"/>
                <w:szCs w:val="24"/>
                <w:rtl w:val="0"/>
              </w:rPr>
              <w:t xml:space="preserve">◎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Lista de Contas-Alvo (ICP Tier 1)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spacing w:after="0" w:before="0" w:lineRule="auto"/>
              <w:rPr>
                <w:color w:val="d9d9d9"/>
              </w:rPr>
            </w:pPr>
            <w:r w:rsidDel="00000000" w:rsidR="00000000" w:rsidRPr="00000000">
              <w:rPr>
                <w:rFonts w:ascii="Arial" w:cs="Arial" w:eastAsia="Arial" w:hAnsi="Arial"/>
                <w:color w:val="d9d9d9"/>
                <w:sz w:val="18"/>
                <w:szCs w:val="18"/>
                <w:rtl w:val="0"/>
              </w:rPr>
              <w:t xml:space="preserve">As 10 a 20 contas com maior potencial de contrato de alto valor.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0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2f2f2" w:val="clear"/>
            <w:tcMar>
              <w:top w:w="12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Empresa: _____  |  Setor: _____  |  Porte: _____  |  Decisor: _____  |  Status do contato: _____</w:t>
              <w:br w:type="textWrapping"/>
              <w:t xml:space="preserve">Repita para cada conta-alvo. Adicione linhas conforme necessário.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2">
      <w:pPr>
        <w:spacing w:after="7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930.0" w:type="dxa"/>
        <w:jc w:val="left"/>
        <w:tblInd w:w="-200.0" w:type="dxa"/>
        <w:tblLayout w:type="fixed"/>
        <w:tblLook w:val="0400"/>
      </w:tblPr>
      <w:tblGrid>
        <w:gridCol w:w="9930"/>
        <w:tblGridChange w:id="0">
          <w:tblGrid>
            <w:gridCol w:w="9930"/>
          </w:tblGrid>
        </w:tblGridChange>
      </w:tblGrid>
      <w:tr>
        <w:trPr>
          <w:cantSplit w:val="0"/>
          <w:trHeight w:val="4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100.0" w:type="dxa"/>
              <w:left w:w="200.0" w:type="dxa"/>
              <w:bottom w:w="8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14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4"/>
                <w:szCs w:val="24"/>
                <w:rtl w:val="0"/>
              </w:rPr>
              <w:t xml:space="preserve">◈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Táticas de Aproximação por Conta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spacing w:after="0" w:before="0" w:lineRule="auto"/>
              <w:rPr>
                <w:color w:val="d9d9d9"/>
              </w:rPr>
            </w:pPr>
            <w:r w:rsidDel="00000000" w:rsidR="00000000" w:rsidRPr="00000000">
              <w:rPr>
                <w:rFonts w:ascii="Arial" w:cs="Arial" w:eastAsia="Arial" w:hAnsi="Arial"/>
                <w:color w:val="d9d9d9"/>
                <w:sz w:val="18"/>
                <w:szCs w:val="18"/>
                <w:rtl w:val="0"/>
              </w:rPr>
              <w:t xml:space="preserve">Como entrar em contato com cada conta-alvo de forma relevante e personalizada.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2f2f2" w:val="clear"/>
            <w:tcMar>
              <w:top w:w="12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Canal 01: _____  |  Mensagem personalizada: _____  |  Conteúdo de apoio: _____</w:t>
              <w:br w:type="textWrapping"/>
              <w:t xml:space="preserve">Canal 02: _____  |  Mensagem personalizada: _____  |  Evento/Webinar conjunto: _____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6">
      <w:pPr>
        <w:pBdr>
          <w:bottom w:color="cccccc" w:space="4" w:sz="6" w:val="single"/>
        </w:pBdr>
        <w:spacing w:after="80" w:before="0" w:lineRule="auto"/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8"/>
          <w:szCs w:val="28"/>
          <w:rtl w:val="0"/>
        </w:rPr>
        <w:t xml:space="preserve">Sales Playbook - Processo Comercial Escalável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100" w:before="30" w:lineRule="auto"/>
        <w:jc w:val="both"/>
        <w:rPr>
          <w:color w:val="888888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18"/>
          <w:szCs w:val="18"/>
          <w:rtl w:val="0"/>
        </w:rPr>
        <w:t xml:space="preserve">Documente cada etapa para que qualquer novo vendedor consiga replicar o processo com consistência.</w:t>
      </w:r>
      <w:r w:rsidDel="00000000" w:rsidR="00000000" w:rsidRPr="00000000">
        <w:rPr>
          <w:rtl w:val="0"/>
        </w:rPr>
      </w:r>
    </w:p>
    <w:tbl>
      <w:tblPr>
        <w:tblStyle w:val="Table8"/>
        <w:tblW w:w="9915.0" w:type="dxa"/>
        <w:jc w:val="left"/>
        <w:tblInd w:w="-200.0" w:type="dxa"/>
        <w:tblLayout w:type="fixed"/>
        <w:tblLook w:val="0400"/>
      </w:tblPr>
      <w:tblGrid>
        <w:gridCol w:w="9915"/>
        <w:tblGridChange w:id="0">
          <w:tblGrid>
            <w:gridCol w:w="9915"/>
          </w:tblGrid>
        </w:tblGridChange>
      </w:tblGrid>
      <w:tr>
        <w:trPr>
          <w:cantSplit w:val="0"/>
          <w:trHeight w:val="4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100.0" w:type="dxa"/>
              <w:left w:w="200.0" w:type="dxa"/>
              <w:bottom w:w="8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14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4"/>
                <w:szCs w:val="24"/>
                <w:rtl w:val="0"/>
              </w:rPr>
              <w:t xml:space="preserve">◎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Abordagem Inicial (Outbound)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6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2f2f2" w:val="clear"/>
            <w:tcMar>
              <w:top w:w="12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Script de primeiro contato por canal (e-mail, LinkedIn, telefone). Qual é a abertura que gera resposta?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A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900.0" w:type="dxa"/>
        <w:jc w:val="left"/>
        <w:tblInd w:w="-200.0" w:type="dxa"/>
        <w:tblLayout w:type="fixed"/>
        <w:tblLook w:val="0400"/>
      </w:tblPr>
      <w:tblGrid>
        <w:gridCol w:w="9900"/>
        <w:tblGridChange w:id="0">
          <w:tblGrid>
            <w:gridCol w:w="9900"/>
          </w:tblGrid>
        </w:tblGridChange>
      </w:tblGrid>
      <w:tr>
        <w:trPr>
          <w:cantSplit w:val="0"/>
          <w:trHeight w:val="4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100.0" w:type="dxa"/>
              <w:left w:w="200.0" w:type="dxa"/>
              <w:bottom w:w="8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14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4"/>
                <w:szCs w:val="24"/>
                <w:rtl w:val="0"/>
              </w:rPr>
              <w:t xml:space="preserve">◈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Reunião de Discovery (30 min)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6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2f2f2" w:val="clear"/>
            <w:tcMar>
              <w:top w:w="12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Roteiro de perguntas. O objetivo é entender a dor, o budget e o timeline - não apresentar o produto.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885.0" w:type="dxa"/>
        <w:jc w:val="left"/>
        <w:tblInd w:w="-200.0" w:type="dxa"/>
        <w:tblLayout w:type="fixed"/>
        <w:tblLook w:val="0400"/>
      </w:tblPr>
      <w:tblGrid>
        <w:gridCol w:w="9885"/>
        <w:tblGridChange w:id="0">
          <w:tblGrid>
            <w:gridCol w:w="9885"/>
          </w:tblGrid>
        </w:tblGridChange>
      </w:tblGrid>
      <w:tr>
        <w:trPr>
          <w:cantSplit w:val="0"/>
          <w:trHeight w:val="4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100.0" w:type="dxa"/>
              <w:left w:w="200.0" w:type="dxa"/>
              <w:bottom w:w="8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14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4"/>
                <w:szCs w:val="24"/>
                <w:rtl w:val="0"/>
              </w:rPr>
              <w:t xml:space="preserve">▲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Demonstração Consultiva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6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2f2f2" w:val="clear"/>
            <w:tcMar>
              <w:top w:w="12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Como adaptar a demo ao problema específico do cliente? O que mostrar e o que não mostrar no primeiro encontro?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0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915.0" w:type="dxa"/>
        <w:jc w:val="left"/>
        <w:tblInd w:w="-200.0" w:type="dxa"/>
        <w:tblLayout w:type="fixed"/>
        <w:tblLook w:val="0400"/>
      </w:tblPr>
      <w:tblGrid>
        <w:gridCol w:w="9915"/>
        <w:tblGridChange w:id="0">
          <w:tblGrid>
            <w:gridCol w:w="9915"/>
          </w:tblGrid>
        </w:tblGridChange>
      </w:tblGrid>
      <w:tr>
        <w:trPr>
          <w:cantSplit w:val="0"/>
          <w:trHeight w:val="4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100.0" w:type="dxa"/>
              <w:left w:w="200.0" w:type="dxa"/>
              <w:bottom w:w="8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14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4"/>
                <w:szCs w:val="24"/>
                <w:rtl w:val="0"/>
              </w:rPr>
              <w:t xml:space="preserve">◻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Tratamento de Objeções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6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2f2f2" w:val="clear"/>
            <w:tcMar>
              <w:top w:w="12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As 5 principais objeções e a resposta validada que funciona para cada uma delas.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3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855.0" w:type="dxa"/>
        <w:jc w:val="left"/>
        <w:tblInd w:w="-200.0" w:type="dxa"/>
        <w:tblLayout w:type="fixed"/>
        <w:tblLook w:val="0400"/>
      </w:tblPr>
      <w:tblGrid>
        <w:gridCol w:w="9855"/>
        <w:tblGridChange w:id="0">
          <w:tblGrid>
            <w:gridCol w:w="9855"/>
          </w:tblGrid>
        </w:tblGridChange>
      </w:tblGrid>
      <w:tr>
        <w:trPr>
          <w:cantSplit w:val="0"/>
          <w:trHeight w:val="4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100.0" w:type="dxa"/>
              <w:left w:w="200.0" w:type="dxa"/>
              <w:bottom w:w="8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14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4"/>
                <w:szCs w:val="24"/>
                <w:rtl w:val="0"/>
              </w:rPr>
              <w:t xml:space="preserve">★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Fechamento e Follow-up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6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2f2f2" w:val="clear"/>
            <w:tcMar>
              <w:top w:w="12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Como conduzir para o próximo passo? Qual a cadência de follow-up após o envio da proposta?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6">
      <w:pPr>
        <w:spacing w:after="14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Bdr>
          <w:bottom w:color="cccccc" w:space="4" w:sz="6" w:val="single"/>
        </w:pBd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8"/>
          <w:szCs w:val="28"/>
          <w:rtl w:val="0"/>
        </w:rPr>
        <w:t xml:space="preserve">Desdobramentos - Próximos Passos</w:t>
      </w:r>
      <w:r w:rsidDel="00000000" w:rsidR="00000000" w:rsidRPr="00000000">
        <w:rPr>
          <w:rtl w:val="0"/>
        </w:rPr>
      </w:r>
    </w:p>
    <w:tbl>
      <w:tblPr>
        <w:tblStyle w:val="Table13"/>
        <w:tblW w:w="9960.0" w:type="dxa"/>
        <w:jc w:val="left"/>
        <w:tblInd w:w="-260.0" w:type="dxa"/>
        <w:tblLayout w:type="fixed"/>
        <w:tblLook w:val="0400"/>
      </w:tblPr>
      <w:tblGrid>
        <w:gridCol w:w="9960"/>
        <w:tblGridChange w:id="0">
          <w:tblGrid>
            <w:gridCol w:w="9960"/>
          </w:tblGrid>
        </w:tblGridChange>
      </w:tblGrid>
      <w:tr>
        <w:trPr>
          <w:cantSplit w:val="0"/>
          <w:trHeight w:val="1520" w:hRule="atLeast"/>
          <w:tblHeader w:val="0"/>
        </w:trPr>
        <w:tc>
          <w:tcPr>
            <w:tcBorders>
              <w:top w:color="000000" w:space="0" w:sz="0" w:val="nil"/>
              <w:left w:color="888888" w:space="0" w:sz="16" w:val="single"/>
              <w:bottom w:color="000000" w:space="0" w:sz="0" w:val="nil"/>
              <w:right w:color="000000" w:space="0" w:sz="0" w:val="nil"/>
            </w:tcBorders>
            <w:shd w:fill="eeeeee" w:val="clear"/>
            <w:tcMar>
              <w:top w:w="160.0" w:type="dxa"/>
              <w:left w:w="260.0" w:type="dxa"/>
              <w:bottom w:w="16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5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a6a6a"/>
                <w:sz w:val="16"/>
                <w:szCs w:val="16"/>
                <w:rtl w:val="0"/>
              </w:rPr>
              <w:t xml:space="preserve">COM BASE NA ESTRATÉGIA DE MARKETING E VENDAS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spacing w:after="14" w:before="7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0"/>
                <w:szCs w:val="20"/>
                <w:rtl w:val="0"/>
              </w:rPr>
              <w:t xml:space="preserve">◎  RevOps Dashboard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6a6a6a"/>
                <w:sz w:val="18"/>
                <w:szCs w:val="18"/>
                <w:rtl w:val="0"/>
              </w:rPr>
              <w:t xml:space="preserve">Implemente um painel único que integra métricas de marketing (leads, CAC) e vendas (pipeline, ciclo, conversão).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spacing w:after="14" w:before="7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0"/>
                <w:szCs w:val="20"/>
                <w:rtl w:val="0"/>
              </w:rPr>
              <w:t xml:space="preserve">▲  ABM para Enterprise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6a6a6a"/>
                <w:sz w:val="18"/>
                <w:szCs w:val="18"/>
                <w:rtl w:val="0"/>
              </w:rPr>
              <w:t xml:space="preserve">Inicie a estratégia ABM com as 10 contas de maior potencial. Personalize a abordagem para cada decisor.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spacing w:after="14" w:before="7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0"/>
                <w:szCs w:val="20"/>
                <w:rtl w:val="0"/>
              </w:rPr>
              <w:t xml:space="preserve">◈  Próximo Passo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6a6a6a"/>
                <w:sz w:val="18"/>
                <w:szCs w:val="18"/>
                <w:rtl w:val="0"/>
              </w:rPr>
              <w:t xml:space="preserve">Integre o Sales Playbook ao CRM para que cada etapa do processo seja registrada e auditada.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spacing w:after="0" w:before="70" w:lineRule="auto"/>
              <w:rPr>
                <w:rFonts w:ascii="Arial" w:cs="Arial" w:eastAsia="Arial" w:hAnsi="Arial"/>
                <w:i w:val="1"/>
                <w:iCs w:val="1"/>
                <w:color w:val="9a9a9a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spacing w:after="0" w:before="7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6"/>
                <w:szCs w:val="16"/>
                <w:rtl w:val="0"/>
              </w:rPr>
              <w:t xml:space="preserve">Nota: Marketing e vendas desalinhados desperdiçam o mesmo lead duas vezes - primeiro ao não qualificar, depois ao não converter.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headerReference r:id="rId7" w:type="default"/>
      <w:pgSz w:h="16838" w:w="11906" w:orient="portrait"/>
      <w:pgMar w:bottom="1134" w:top="1247" w:left="1134" w:right="113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Arial"/>
  <w:font w:name="Arial Unicode M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2">
    <w:pPr>
      <w:rPr/>
    </w:pPr>
    <w:r w:rsidDel="00000000" w:rsidR="00000000" w:rsidRPr="00000000">
      <w:rPr/>
      <w:drawing>
        <wp:inline distB="114300" distT="114300" distL="114300" distR="114300">
          <wp:extent cx="1106897" cy="623888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27972" l="11329" r="12428" t="30420"/>
                  <a:stretch>
                    <a:fillRect/>
                  </a:stretch>
                </pic:blipFill>
                <pic:spPr>
                  <a:xfrm>
                    <a:off x="0" y="0"/>
                    <a:ext cx="1106897" cy="62388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GEPiD4N4I7V+e++iyFwMOC4LRfw==">CgMxLjAaJAoBMBIfCh0IB0IZCgVBcmlhbBIQQXJpYWwgVW5pY29kZSBNUzgAciExM0RVdm9JbGNVMHZiMWdyeEFHV1FFYnplMWluam92SEQ=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