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SC11 · Estrutura Organizacional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Ind w:w="-95.0" w:type="dxa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Escalar exige clareza sobre quem faz o quê e como as pessoas evoluem dentro da organização.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redesenha a estrutura para suportar a escala, definindo níveis de senioridade e as competências necessárias para cada cargo, sem criar burocracia que sufoque a agilidade.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50.0" w:type="dxa"/>
        <w:jc w:val="left"/>
        <w:tblInd w:w="-120.0" w:type="dxa"/>
        <w:tblLayout w:type="fixed"/>
        <w:tblLook w:val="0400"/>
      </w:tblPr>
      <w:tblGrid>
        <w:gridCol w:w="4515"/>
        <w:gridCol w:w="5235"/>
        <w:tblGridChange w:id="0">
          <w:tblGrid>
            <w:gridCol w:w="4515"/>
            <w:gridCol w:w="523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Hierarquia vs. Squads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Nossa estrutura atual favorece a agilidade ou cria gargalos de aprovação?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Senioridade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Estão claros os critérios que diferenciam um nível Júnior de um Pleno ou Sênior?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Sucessão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Temos clareza de quem são os futuros líderes em cada área crítica?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Organograma de Escala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Descreva a estrutura atual e a estrutura desejada para suportar o crescimento planejado dos próximos 12 meses.</w:t>
      </w:r>
      <w:r w:rsidDel="00000000" w:rsidR="00000000" w:rsidRPr="00000000">
        <w:rPr>
          <w:rtl w:val="0"/>
        </w:rPr>
      </w:r>
    </w:p>
    <w:tbl>
      <w:tblPr>
        <w:tblStyle w:val="Table3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Estrutura Atual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Como a empresa está organizada hoje?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as áreas, as lideranças e as linhas de reporte. Identifique gargalos e sobreposições de responsabilidade.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Estrutura Desejada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12 Meses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Como a empresa precisa estar organizada para suportar a escala?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os novos papéis necessários, as áreas que precisam ser divididas e as contratações prioritárias.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Níveis de Carreira - Job Leveling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critérios objetivos para cada nível. Critérios claros previnem inconsistências salariais e conflitos de expectativa.</w:t>
      </w:r>
      <w:r w:rsidDel="00000000" w:rsidR="00000000" w:rsidRPr="00000000">
        <w:rPr>
          <w:rtl w:val="0"/>
        </w:rPr>
      </w:r>
    </w:p>
    <w:tbl>
      <w:tblPr>
        <w:tblStyle w:val="Table5"/>
        <w:tblW w:w="9690.0" w:type="dxa"/>
        <w:jc w:val="left"/>
        <w:tblInd w:w="-80.0" w:type="dxa"/>
        <w:tblLayout w:type="fixed"/>
        <w:tblLook w:val="0400"/>
      </w:tblPr>
      <w:tblGrid>
        <w:gridCol w:w="2415"/>
        <w:gridCol w:w="2415"/>
        <w:gridCol w:w="2415"/>
        <w:gridCol w:w="2445"/>
        <w:tblGridChange w:id="0">
          <w:tblGrid>
            <w:gridCol w:w="2415"/>
            <w:gridCol w:w="2415"/>
            <w:gridCol w:w="2415"/>
            <w:gridCol w:w="244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SENIORIDADE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CRITÉRIOS DE PROGRESSÃO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EXPECTATIVA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Júnior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Especialista /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Gerente /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Matriz de Competências por 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as competências técnicas e comportamentais essenciais para cada área. Base para avaliações e promoções.</w:t>
      </w:r>
      <w:r w:rsidDel="00000000" w:rsidR="00000000" w:rsidRPr="00000000">
        <w:rPr>
          <w:rtl w:val="0"/>
        </w:rPr>
      </w:r>
    </w:p>
    <w:tbl>
      <w:tblPr>
        <w:tblStyle w:val="Table6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Produto e Tecnologia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Técnicas: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Product thinking, análise de dados, metodologias ágeis, arquitetura de software.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Comportamentais:  Pensamento sistêmico, comunicação técnica, orientação a resultado, gestão de stakeholders.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Vendas e 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Técnicas: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Técnicas de vendas consultiva, CRM, copywriting, análise de funil, inbound/outbound.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Comportamentais:  Resiliência, escuta ativa, orientação a meta, capacidade de apresentação e negociação.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Customer 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Técnicas: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Onboarding, gestão de relacionamento, análise de churn, NPS e CSAT.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Comportamentais:  Empatia, comunicação clara, proatividade, capacidade de identificar oportunidades de expansão.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Operações e Finanças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Técnicas: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Modelagem financeira, gestão de processos, compliance, ferramentas de BI.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Comportamentais:  Organização, atenção à detalhes, pensamento analítico, capacidade de priorização.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0"/>
        <w:tblW w:w="9945.0" w:type="dxa"/>
        <w:jc w:val="left"/>
        <w:tblInd w:w="-185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ESTRUTURA ORGANIZACIONAL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Redesenho da Estrutura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a estrutura desejada progressivamente. Reestruturações abruptas geram insegurança e perda de talentos.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Trilhas de Carreira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Publique os critérios de promoção para todo o time. Transparência sobre carreira é retenção de talento.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Conecte a estrutura ao plano de Vesting e Equity (SC12) para garantir alinhamento entre crescimento e incentivo de longo prazo.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Estrutura sem clareza de papéis gera microgestão. Clareza de papéis libera o time para executar com autonomia.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+fePSl05u8Y67eAho8IVnYtkFw==">CgMxLjA4AHIhMWhpN3cwa0xmbld4UEZDZE5NSUlJeTBoSS02bnlpTGhW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