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50" w:before="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888888"/>
          <w:sz w:val="16"/>
          <w:szCs w:val="16"/>
          <w:rtl w:val="0"/>
        </w:rPr>
        <w:t xml:space="preserve">SCALE-UP  ·  TIME / EXECUÇÃO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cccccc" w:space="4" w:sz="6" w:val="single"/>
        </w:pBdr>
        <w:spacing w:after="5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44"/>
          <w:szCs w:val="44"/>
          <w:rtl w:val="0"/>
        </w:rPr>
        <w:t xml:space="preserve">SC12 · Vesting e Equity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60" w:before="50" w:lineRule="auto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Pilar: Time / Execução  |  Estágio: Scale-Up</w:t>
      </w: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125.0" w:type="dxa"/>
        <w:tblLayout w:type="fixed"/>
        <w:tblLook w:val="0400"/>
      </w:tblPr>
      <w:tblGrid>
        <w:gridCol w:w="9765"/>
        <w:tblGridChange w:id="0">
          <w:tblGrid>
            <w:gridCol w:w="9765"/>
          </w:tblGrid>
        </w:tblGridChange>
      </w:tblGrid>
      <w:tr>
        <w:trPr>
          <w:cantSplit w:val="0"/>
          <w:trHeight w:val="90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5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888888"/>
                <w:sz w:val="16"/>
                <w:szCs w:val="16"/>
                <w:rtl w:val="0"/>
              </w:rPr>
              <w:t xml:space="preserve">VISÃO ESTRATÉGICA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5">
            <w:pPr>
              <w:spacing w:after="30" w:before="3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1a1a"/>
                <w:sz w:val="22"/>
                <w:szCs w:val="22"/>
                <w:rtl w:val="0"/>
              </w:rPr>
              <w:t xml:space="preserve">Para atrair e reter os melhores talentos na escala, a startup utiliza Equity como diferencial.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color w:val="888888"/>
                <w:sz w:val="18"/>
                <w:szCs w:val="18"/>
                <w:rtl w:val="0"/>
              </w:rPr>
              <w:t xml:space="preserve">Esta ferramenta estrutura os planos de opções de ações (ESOP) e as regras de permanência (Vesting), criando alinhamento de longo prazo entre o time e os objetivos da empresa.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7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Perguntas-Chave - Reflexão Crítica</w:t>
      </w:r>
      <w:r w:rsidDel="00000000" w:rsidR="00000000" w:rsidRPr="00000000">
        <w:rPr>
          <w:rtl w:val="0"/>
        </w:rPr>
      </w:r>
    </w:p>
    <w:tbl>
      <w:tblPr>
        <w:tblStyle w:val="Table2"/>
        <w:tblW w:w="9795.0" w:type="dxa"/>
        <w:jc w:val="left"/>
        <w:tblInd w:w="-120.0" w:type="dxa"/>
        <w:tblLayout w:type="fixed"/>
        <w:tblLook w:val="0400"/>
      </w:tblPr>
      <w:tblGrid>
        <w:gridCol w:w="3870"/>
        <w:gridCol w:w="5925"/>
        <w:tblGridChange w:id="0">
          <w:tblGrid>
            <w:gridCol w:w="3870"/>
            <w:gridCol w:w="5925"/>
          </w:tblGrid>
        </w:tblGridChange>
      </w:tblGrid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Atração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O nosso pacote de Equity é competitivo com outras startups em estágio similar?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4a4a4a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Alinhamento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As regras de Vesting incentivam a permanência de longo prazo sem travar saídas saudáveis?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90.0" w:type="dxa"/>
              <w:left w:w="120.0" w:type="dxa"/>
              <w:bottom w:w="9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before="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7f7f7" w:val="clear"/>
            <w:tcMar>
              <w:top w:w="90.0" w:type="dxa"/>
              <w:left w:w="160.0" w:type="dxa"/>
              <w:bottom w:w="90.0" w:type="dxa"/>
              <w:right w:w="16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16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Cap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 distribuição atual de participação está equilibrada para suportar futuras rodadas?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Regras de Vesting - Estrutura do Plano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30" w:lineRule="auto"/>
        <w:jc w:val="both"/>
        <w:rPr>
          <w:color w:val="888888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888888"/>
          <w:sz w:val="18"/>
          <w:szCs w:val="18"/>
          <w:rtl w:val="0"/>
        </w:rPr>
        <w:t xml:space="preserve">Defina as regras antes de fazer qualquer oferta. Mudanças retroativas geram conflito societário.</w:t>
      </w:r>
      <w:r w:rsidDel="00000000" w:rsidR="00000000" w:rsidRPr="00000000">
        <w:rPr>
          <w:rtl w:val="0"/>
        </w:rPr>
      </w:r>
    </w:p>
    <w:tbl>
      <w:tblPr>
        <w:tblStyle w:val="Table3"/>
        <w:tblW w:w="9855.0" w:type="dxa"/>
        <w:jc w:val="left"/>
        <w:tblInd w:w="-200.0" w:type="dxa"/>
        <w:tblLayout w:type="fixed"/>
        <w:tblLook w:val="0400"/>
      </w:tblPr>
      <w:tblGrid>
        <w:gridCol w:w="9855"/>
        <w:tblGridChange w:id="0">
          <w:tblGrid>
            <w:gridCol w:w="985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Período Total de Vesting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Período total: _____  anos  |  Justificativa: _____</w:t>
              <w:br w:type="textWrapping"/>
              <w:t xml:space="preserve">Ex: 4 anos é o padrão mais comum para startups em crescimento.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870.0" w:type="dxa"/>
        <w:jc w:val="left"/>
        <w:tblInd w:w="-200.0" w:type="dxa"/>
        <w:tblLayout w:type="fixed"/>
        <w:tblLook w:val="0400"/>
      </w:tblPr>
      <w:tblGrid>
        <w:gridCol w:w="9870"/>
        <w:tblGridChange w:id="0">
          <w:tblGrid>
            <w:gridCol w:w="987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Cliff - Período de Carência Inicial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Cliff: _____ meses  |  Percentual liberado após o cliff: _____%</w:t>
              <w:br w:type="textWrapping"/>
              <w:t xml:space="preserve">Ex: 12 meses de cliff + liberação mensal do restante.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885.0" w:type="dxa"/>
        <w:jc w:val="left"/>
        <w:tblInd w:w="-200.0" w:type="dxa"/>
        <w:tblLayout w:type="fixed"/>
        <w:tblLook w:val="0400"/>
      </w:tblPr>
      <w:tblGrid>
        <w:gridCol w:w="9885"/>
        <w:tblGridChange w:id="0">
          <w:tblGrid>
            <w:gridCol w:w="9885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Aceleração em Eventos Especiais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3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Aceleração simples (trigger único): _____</w:t>
              <w:br w:type="textWrapping"/>
              <w:t xml:space="preserve">Aceleração dupla (2 triggers ex: M&amp;A + demissão):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3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80.0" w:type="dxa"/>
              <w:left w:w="200.0" w:type="dxa"/>
              <w:bottom w:w="70.0" w:type="dxa"/>
              <w:right w:w="20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2"/>
                <w:szCs w:val="22"/>
                <w:rtl w:val="0"/>
              </w:rPr>
              <w:t xml:space="preserve">◻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Pool de Opções - ESOP Pool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00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Tamanho do pool atual: _____%  |  Pool planejado pós-rodada: _____%</w:t>
              <w:br w:type="textWrapping"/>
              <w:t xml:space="preserve">Política de reposição do pool: 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Framework de ESOP - Critérios de Elegibilidade e Cálculo</w:t>
      </w:r>
      <w:r w:rsidDel="00000000" w:rsidR="00000000" w:rsidRPr="00000000">
        <w:rPr>
          <w:rtl w:val="0"/>
        </w:rPr>
      </w:r>
    </w:p>
    <w:tbl>
      <w:tblPr>
        <w:tblStyle w:val="Table7"/>
        <w:tblW w:w="9900.0" w:type="dxa"/>
        <w:jc w:val="left"/>
        <w:tblInd w:w="-200.0" w:type="dxa"/>
        <w:tblLayout w:type="fixed"/>
        <w:tblLook w:val="0400"/>
      </w:tblPr>
      <w:tblGrid>
        <w:gridCol w:w="9900"/>
        <w:tblGridChange w:id="0">
          <w:tblGrid>
            <w:gridCol w:w="9900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◎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Elegibilidade por Nível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6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a) Qual nível mínimo de carreira têm direito a opções?</w:t>
            </w:r>
          </w:p>
          <w:p w:rsidR="00000000" w:rsidDel="00000000" w:rsidP="00000000" w:rsidRDefault="00000000" w:rsidRPr="00000000" w14:paraId="00000023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b) Quais cargos recebem faixas maiores?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◈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Cálculo do Grant (Concessão)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a) Como o número de opções é calculado?</w:t>
            </w:r>
          </w:p>
          <w:p w:rsidR="00000000" w:rsidDel="00000000" w:rsidP="00000000" w:rsidRDefault="00000000" w:rsidRPr="00000000" w14:paraId="00000027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b) Por múltiplo de salário, percentual fixo ou impacto esperado?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60" w:before="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▲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Preço de Exercício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-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 Strike Price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31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0" w:before="0" w:lineRule="auto"/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a) Qual é o preço pelo qual o colaborador pode exercer as opções?</w:t>
            </w:r>
          </w:p>
          <w:p w:rsidR="00000000" w:rsidDel="00000000" w:rsidP="00000000" w:rsidRDefault="00000000" w:rsidRPr="00000000" w14:paraId="0000002B">
            <w:pPr>
              <w:spacing w:after="0" w:before="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8"/>
                <w:szCs w:val="18"/>
                <w:rtl w:val="0"/>
              </w:rPr>
              <w:t xml:space="preserve">b) Como é atualizado a cada rodada?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Cap Table Summary - Visão Simplificada</w:t>
      </w:r>
      <w:r w:rsidDel="00000000" w:rsidR="00000000" w:rsidRPr="00000000">
        <w:rPr>
          <w:rtl w:val="0"/>
        </w:rPr>
      </w:r>
    </w:p>
    <w:tbl>
      <w:tblPr>
        <w:tblStyle w:val="Table10"/>
        <w:tblW w:w="9915.0" w:type="dxa"/>
        <w:jc w:val="left"/>
        <w:tblInd w:w="-200.0" w:type="dxa"/>
        <w:tblLayout w:type="fixed"/>
        <w:tblLook w:val="0400"/>
      </w:tblPr>
      <w:tblGrid>
        <w:gridCol w:w="9915"/>
        <w:tblGridChange w:id="0">
          <w:tblGrid>
            <w:gridCol w:w="9915"/>
          </w:tblGrid>
        </w:tblGridChange>
      </w:tblGrid>
      <w:tr>
        <w:trPr>
          <w:cantSplit w:val="0"/>
          <w:trHeight w:val="4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2e2e2e" w:val="clear"/>
            <w:tcMar>
              <w:top w:w="100.0" w:type="dxa"/>
              <w:left w:w="200.0" w:type="dxa"/>
              <w:bottom w:w="8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14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24"/>
                <w:szCs w:val="24"/>
                <w:rtl w:val="0"/>
              </w:rPr>
              <w:t xml:space="preserve">★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2"/>
                <w:szCs w:val="22"/>
                <w:rtl w:val="0"/>
              </w:rPr>
              <w:t xml:space="preserve">Distribuição Societária Atual e Projetada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aaaaaa"/>
                <w:sz w:val="18"/>
                <w:szCs w:val="18"/>
                <w:rtl w:val="0"/>
              </w:rPr>
              <w:t xml:space="preserve">Resumo da participação atual e após o programa de equity.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5" w:hRule="atLeast"/>
          <w:tblHeader w:val="0"/>
        </w:trPr>
        <w:tc>
          <w:tcPr>
            <w:tcBorders>
              <w:top w:color="d8d8d8" w:space="0" w:sz="4" w:val="single"/>
              <w:left w:color="d8d8d8" w:space="0" w:sz="4" w:val="single"/>
              <w:bottom w:color="d8d8d8" w:space="0" w:sz="4" w:val="single"/>
              <w:right w:color="d8d8d8" w:space="0" w:sz="4" w:val="single"/>
            </w:tcBorders>
            <w:shd w:fill="f2f2f2" w:val="clear"/>
            <w:tcMar>
              <w:top w:w="120.0" w:type="dxa"/>
              <w:left w:w="200.0" w:type="dxa"/>
              <w:bottom w:w="10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9a9a9a"/>
                <w:sz w:val="18"/>
                <w:szCs w:val="18"/>
                <w:rtl w:val="0"/>
              </w:rPr>
              <w:t xml:space="preserve">Fundadores: _____%  |  Investidores: _____%  |  ESOP Pool: _____%  |  Outros: _____% = Total: 100%</w:t>
              <w:br w:type="textWrapping"/>
              <w:t xml:space="preserve">Distribuição pós-próxima rodada (estimada): _____________________________________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0">
      <w:pPr>
        <w:spacing w:after="140" w:before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bottom w:color="cccccc" w:space="4" w:sz="6" w:val="single"/>
        </w:pBdr>
        <w:spacing w:after="80" w:before="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1a1a"/>
          <w:sz w:val="28"/>
          <w:szCs w:val="28"/>
          <w:rtl w:val="0"/>
        </w:rPr>
        <w:t xml:space="preserve">Desdobramentos - Próximos Passos</w:t>
      </w:r>
      <w:r w:rsidDel="00000000" w:rsidR="00000000" w:rsidRPr="00000000">
        <w:rPr>
          <w:rtl w:val="0"/>
        </w:rPr>
      </w:r>
    </w:p>
    <w:tbl>
      <w:tblPr>
        <w:tblStyle w:val="Table11"/>
        <w:tblW w:w="9975.0" w:type="dxa"/>
        <w:jc w:val="left"/>
        <w:tblInd w:w="-260.0" w:type="dxa"/>
        <w:tblLayout w:type="fixed"/>
        <w:tblLook w:val="0400"/>
      </w:tblPr>
      <w:tblGrid>
        <w:gridCol w:w="9975"/>
        <w:tblGridChange w:id="0">
          <w:tblGrid>
            <w:gridCol w:w="9975"/>
          </w:tblGrid>
        </w:tblGridChange>
      </w:tblGrid>
      <w:tr>
        <w:trPr>
          <w:cantSplit w:val="0"/>
          <w:trHeight w:val="1520" w:hRule="atLeast"/>
          <w:tblHeader w:val="0"/>
        </w:trPr>
        <w:tc>
          <w:tcPr>
            <w:tcBorders>
              <w:top w:color="000000" w:space="0" w:sz="0" w:val="nil"/>
              <w:left w:color="888888" w:space="0" w:sz="16" w:val="single"/>
              <w:bottom w:color="000000" w:space="0" w:sz="0" w:val="nil"/>
              <w:right w:color="000000" w:space="0" w:sz="0" w:val="nil"/>
            </w:tcBorders>
            <w:shd w:fill="eeeeee" w:val="clear"/>
            <w:tcMar>
              <w:top w:w="160.0" w:type="dxa"/>
              <w:left w:w="260.0" w:type="dxa"/>
              <w:bottom w:w="160.0" w:type="dxa"/>
              <w:right w:w="2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5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6a6a6a"/>
                <w:sz w:val="16"/>
                <w:szCs w:val="16"/>
                <w:rtl w:val="0"/>
              </w:rPr>
              <w:t xml:space="preserve">COM BASE NO PLANO DE VESTING E EQUITY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◎  Formalizar o ESOP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4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Elabore o documento legal de ESOP com advogado especializado em startups. Acordos verbais de equity geram litígios.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▲  Atualizar o Cap Table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Mantenha o Cap Table atualizado após cada grant, exercício ou rodada. Opacidade no Cap Table afasta investidores.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spacing w:after="14" w:before="7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3a3a3a"/>
                <w:sz w:val="20"/>
                <w:szCs w:val="20"/>
                <w:rtl w:val="0"/>
              </w:rPr>
              <w:t xml:space="preserve">◈  Próximo Passo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spacing w:after="0" w:before="0" w:lineRule="auto"/>
              <w:rPr/>
            </w:pPr>
            <w:r w:rsidDel="00000000" w:rsidR="00000000" w:rsidRPr="00000000">
              <w:rPr>
                <w:rFonts w:ascii="Arial" w:cs="Arial" w:eastAsia="Arial" w:hAnsi="Arial"/>
                <w:color w:val="6a6a6a"/>
                <w:sz w:val="18"/>
                <w:szCs w:val="18"/>
                <w:rtl w:val="0"/>
              </w:rPr>
              <w:t xml:space="preserve">Conecte o plano de Equity à política de Remuneração e Benefícios (SC13) para uma proposta de valor total ao colaborador.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spacing w:after="0" w:before="70" w:lineRule="auto"/>
              <w:rPr>
                <w:rFonts w:ascii="Arial" w:cs="Arial" w:eastAsia="Arial" w:hAnsi="Arial"/>
                <w:i w:val="1"/>
                <w:iCs w:val="1"/>
                <w:color w:val="9a9a9a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spacing w:after="0" w:before="70" w:lineRule="auto"/>
              <w:rPr>
                <w:color w:val="888888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888888"/>
                <w:sz w:val="16"/>
                <w:szCs w:val="16"/>
                <w:rtl w:val="0"/>
              </w:rPr>
              <w:t xml:space="preserve">Nota: Equity sem clareza sobre regras e valores gera expectativa errada. Clareza desde o início é o melhor benefício.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8" w:w="11906" w:orient="portrait"/>
      <w:pgMar w:bottom="1134" w:top="1247" w:left="1134" w:right="1134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C">
    <w:pPr>
      <w:rPr/>
    </w:pPr>
    <w:r w:rsidDel="00000000" w:rsidR="00000000" w:rsidRPr="00000000">
      <w:rPr/>
      <w:drawing>
        <wp:inline distB="114300" distT="114300" distL="114300" distR="114300">
          <wp:extent cx="1106897" cy="62388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7972" l="11329" r="12428" t="30420"/>
                  <a:stretch>
                    <a:fillRect/>
                  </a:stretch>
                </pic:blipFill>
                <pic:spPr>
                  <a:xfrm>
                    <a:off x="0" y="0"/>
                    <a:ext cx="1106897" cy="62388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nVZjgvOt+zGJMtlAr1Lthn4m7A==">CgMxLjA4AHIhMW5IanhCMFV1RnNsdE5hMU05enc4dVhkLTFTX2VrNVlB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