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50" w:before="0" w:lineRule="auto"/>
        <w:rPr>
          <w:color w:val="88888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888888"/>
          <w:sz w:val="16"/>
          <w:szCs w:val="16"/>
          <w:rtl w:val="0"/>
        </w:rPr>
        <w:t xml:space="preserve">SCALE-UP  ·  TIME / EXECUÇÃO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bottom w:color="cccccc" w:space="4" w:sz="6" w:val="single"/>
        </w:pBdr>
        <w:spacing w:after="5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44"/>
          <w:szCs w:val="44"/>
          <w:rtl w:val="0"/>
        </w:rPr>
        <w:t xml:space="preserve">SC13 · Remuneração e Benefícios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60" w:before="50" w:lineRule="auto"/>
        <w:rPr>
          <w:color w:val="888888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18"/>
          <w:szCs w:val="18"/>
          <w:rtl w:val="0"/>
        </w:rPr>
        <w:t xml:space="preserve">Pilar: Time / Execução  |  Estágio: Scale-Up</w:t>
      </w:r>
      <w:r w:rsidDel="00000000" w:rsidR="00000000" w:rsidRPr="00000000">
        <w:rPr>
          <w:rtl w:val="0"/>
        </w:rPr>
      </w:r>
    </w:p>
    <w:tbl>
      <w:tblPr>
        <w:tblStyle w:val="Table1"/>
        <w:tblW w:w="9765.0" w:type="dxa"/>
        <w:jc w:val="left"/>
        <w:tblInd w:w="-95.0" w:type="dxa"/>
        <w:tblLayout w:type="fixed"/>
        <w:tblLook w:val="0400"/>
      </w:tblPr>
      <w:tblGrid>
        <w:gridCol w:w="9765"/>
        <w:tblGridChange w:id="0">
          <w:tblGrid>
            <w:gridCol w:w="9765"/>
          </w:tblGrid>
        </w:tblGridChange>
      </w:tblGrid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888888" w:space="0" w:sz="16" w:val="single"/>
              <w:bottom w:color="000000" w:space="0" w:sz="0" w:val="nil"/>
              <w:right w:color="000000" w:space="0" w:sz="0" w:val="nil"/>
            </w:tcBorders>
            <w:shd w:fill="eeeeee" w:val="clear"/>
            <w:tcMar>
              <w:top w:w="160.0" w:type="dxa"/>
              <w:left w:w="260.0" w:type="dxa"/>
              <w:bottom w:w="16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after="5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888888"/>
                <w:sz w:val="16"/>
                <w:szCs w:val="16"/>
                <w:rtl w:val="0"/>
              </w:rPr>
              <w:t xml:space="preserve">VISÃO ESTRATÉGICA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2"/>
                <w:szCs w:val="22"/>
                <w:rtl w:val="0"/>
              </w:rPr>
              <w:t xml:space="preserve">A profissionalização exige uma política salarial clara, competitiva e equânime.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color w:val="888888"/>
                <w:sz w:val="18"/>
                <w:szCs w:val="18"/>
                <w:rtl w:val="0"/>
              </w:rPr>
              <w:t xml:space="preserve">Esta ferramenta define as faixas salariais por nível e o pacote de benefícios para garantir equidade interna e atratividade externa, atraindo talentos sem comprometer a saúde financeira.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7">
      <w:pPr>
        <w:spacing w:after="14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bottom w:color="cccccc" w:space="4" w:sz="6" w:val="single"/>
        </w:pBdr>
        <w:spacing w:after="8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8"/>
          <w:szCs w:val="28"/>
          <w:rtl w:val="0"/>
        </w:rPr>
        <w:t xml:space="preserve">Perguntas-Chave - Reflexão Crítica</w:t>
      </w:r>
      <w:r w:rsidDel="00000000" w:rsidR="00000000" w:rsidRPr="00000000">
        <w:rPr>
          <w:rtl w:val="0"/>
        </w:rPr>
      </w:r>
    </w:p>
    <w:tbl>
      <w:tblPr>
        <w:tblStyle w:val="Table2"/>
        <w:tblW w:w="9840.0" w:type="dxa"/>
        <w:jc w:val="left"/>
        <w:tblInd w:w="-120.0" w:type="dxa"/>
        <w:tblLayout w:type="fixed"/>
        <w:tblLook w:val="0400"/>
      </w:tblPr>
      <w:tblGrid>
        <w:gridCol w:w="3855"/>
        <w:gridCol w:w="5985"/>
        <w:tblGridChange w:id="0">
          <w:tblGrid>
            <w:gridCol w:w="3855"/>
            <w:gridCol w:w="5985"/>
          </w:tblGrid>
        </w:tblGridChange>
      </w:tblGrid>
      <w:tr>
        <w:trPr>
          <w:cantSplit w:val="0"/>
          <w:trHeight w:val="7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90.0" w:type="dxa"/>
              <w:left w:w="12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7f7f7" w:val="clear"/>
            <w:tcMar>
              <w:top w:w="90.0" w:type="dxa"/>
              <w:left w:w="160.0" w:type="dxa"/>
              <w:bottom w:w="9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16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20"/>
                <w:szCs w:val="20"/>
                <w:rtl w:val="0"/>
              </w:rPr>
              <w:t xml:space="preserve">Equidade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Pessoas com o mesmo nível de responsabilidade recebem dentro da mesma faixa?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4a4a4a" w:val="clear"/>
            <w:tcMar>
              <w:top w:w="90.0" w:type="dxa"/>
              <w:left w:w="12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7f7f7" w:val="clear"/>
            <w:tcMar>
              <w:top w:w="90.0" w:type="dxa"/>
              <w:left w:w="160.0" w:type="dxa"/>
              <w:bottom w:w="9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16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20"/>
                <w:szCs w:val="20"/>
                <w:rtl w:val="0"/>
              </w:rPr>
              <w:t xml:space="preserve">Competitividade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Nossa remuneração total (salário + equity + benefícios) compete com o mercado?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90.0" w:type="dxa"/>
              <w:left w:w="12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7f7f7" w:val="clear"/>
            <w:tcMar>
              <w:top w:w="90.0" w:type="dxa"/>
              <w:left w:w="160.0" w:type="dxa"/>
              <w:bottom w:w="9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16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20"/>
                <w:szCs w:val="20"/>
                <w:rtl w:val="0"/>
              </w:rPr>
              <w:t xml:space="preserve">Transparência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Os critérios para aumento e promoção são conhecidos por todo o time?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spacing w:after="14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bottom w:color="cccccc" w:space="4" w:sz="6" w:val="single"/>
        </w:pBdr>
        <w:spacing w:after="8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8"/>
          <w:szCs w:val="28"/>
          <w:rtl w:val="0"/>
        </w:rPr>
        <w:t xml:space="preserve">Tabela de Cargos e Salários por Nível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00" w:before="30" w:lineRule="auto"/>
        <w:jc w:val="both"/>
        <w:rPr>
          <w:color w:val="888888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18"/>
          <w:szCs w:val="18"/>
          <w:rtl w:val="0"/>
        </w:rPr>
        <w:t xml:space="preserve">Defina faixas salariais por nível e não por pessoa. Faixas amplas dão margem para meritocracia sem criar injustiças.</w:t>
      </w:r>
      <w:r w:rsidDel="00000000" w:rsidR="00000000" w:rsidRPr="00000000">
        <w:rPr>
          <w:rtl w:val="0"/>
        </w:rPr>
      </w:r>
    </w:p>
    <w:tbl>
      <w:tblPr>
        <w:tblStyle w:val="Table3"/>
        <w:tblW w:w="9840.0" w:type="dxa"/>
        <w:jc w:val="left"/>
        <w:tblInd w:w="-80.0" w:type="dxa"/>
        <w:tblLayout w:type="fixed"/>
        <w:tblLook w:val="0400"/>
      </w:tblPr>
      <w:tblGrid>
        <w:gridCol w:w="1935"/>
        <w:gridCol w:w="2085"/>
        <w:gridCol w:w="1965"/>
        <w:gridCol w:w="1920"/>
        <w:gridCol w:w="1935"/>
        <w:tblGridChange w:id="0">
          <w:tblGrid>
            <w:gridCol w:w="1935"/>
            <w:gridCol w:w="2085"/>
            <w:gridCol w:w="1965"/>
            <w:gridCol w:w="1920"/>
            <w:gridCol w:w="1935"/>
          </w:tblGrid>
        </w:tblGridChange>
      </w:tblGrid>
      <w:tr>
        <w:trPr>
          <w:cantSplit w:val="0"/>
          <w:trHeight w:val="3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70.0" w:type="dxa"/>
              <w:left w:w="80.0" w:type="dxa"/>
              <w:bottom w:w="7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NÍVEL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70.0" w:type="dxa"/>
              <w:left w:w="80.0" w:type="dxa"/>
              <w:bottom w:w="7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CARGO EXEMPLO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70.0" w:type="dxa"/>
              <w:left w:w="80.0" w:type="dxa"/>
              <w:bottom w:w="7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FAIXA MÍNIMA (R$)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70.0" w:type="dxa"/>
              <w:left w:w="80.0" w:type="dxa"/>
              <w:bottom w:w="7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FAIXA MÁXIMA (R$)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70.0" w:type="dxa"/>
              <w:left w:w="80.0" w:type="dxa"/>
              <w:bottom w:w="7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REFERÊNCIA DE MERCADO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7.5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7f7f7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18"/>
                <w:szCs w:val="18"/>
                <w:rtl w:val="0"/>
              </w:rPr>
              <w:t xml:space="preserve">L1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7f7f7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a3a3a"/>
                <w:sz w:val="18"/>
                <w:szCs w:val="18"/>
                <w:rtl w:val="0"/>
              </w:rPr>
              <w:t xml:space="preserve">Analista Jr.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7f7f7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7f7f7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7f7f7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7.5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18"/>
                <w:szCs w:val="18"/>
                <w:rtl w:val="0"/>
              </w:rPr>
              <w:t xml:space="preserve">L2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a3a3a"/>
                <w:sz w:val="18"/>
                <w:szCs w:val="18"/>
                <w:rtl w:val="0"/>
              </w:rPr>
              <w:t xml:space="preserve">Analista Pleno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7.5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7f7f7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18"/>
                <w:szCs w:val="18"/>
                <w:rtl w:val="0"/>
              </w:rPr>
              <w:t xml:space="preserve">L3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7f7f7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a3a3a"/>
                <w:sz w:val="18"/>
                <w:szCs w:val="18"/>
                <w:rtl w:val="0"/>
              </w:rPr>
              <w:t xml:space="preserve">Analista Sênior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7f7f7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7f7f7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7f7f7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7.5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18"/>
                <w:szCs w:val="18"/>
                <w:rtl w:val="0"/>
              </w:rPr>
              <w:t xml:space="preserve">L4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a3a3a"/>
                <w:sz w:val="18"/>
                <w:szCs w:val="18"/>
                <w:rtl w:val="0"/>
              </w:rPr>
              <w:t xml:space="preserve">Especialista/Lead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7.5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7f7f7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18"/>
                <w:szCs w:val="18"/>
                <w:rtl w:val="0"/>
              </w:rPr>
              <w:t xml:space="preserve">L5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7f7f7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a3a3a"/>
                <w:sz w:val="18"/>
                <w:szCs w:val="18"/>
                <w:rtl w:val="0"/>
              </w:rPr>
              <w:t xml:space="preserve">Gerente/Head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7f7f7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7f7f7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7f7f7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7.5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18"/>
                <w:szCs w:val="18"/>
                <w:rtl w:val="0"/>
              </w:rPr>
              <w:t xml:space="preserve">L6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a3a3a"/>
                <w:sz w:val="18"/>
                <w:szCs w:val="18"/>
                <w:rtl w:val="0"/>
              </w:rPr>
              <w:t xml:space="preserve">Diretor</w:t>
            </w:r>
            <w:r w:rsidDel="00000000" w:rsidR="00000000" w:rsidRPr="00000000">
              <w:rPr>
                <w:rFonts w:ascii="Arial" w:cs="Arial" w:eastAsia="Arial" w:hAnsi="Arial"/>
                <w:color w:val="3a3a3a"/>
                <w:sz w:val="18"/>
                <w:szCs w:val="18"/>
                <w:rtl w:val="0"/>
              </w:rPr>
              <w:t xml:space="preserve">/VP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8">
      <w:pPr>
        <w:spacing w:after="14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Bdr>
          <w:bottom w:color="cccccc" w:space="4" w:sz="6" w:val="single"/>
        </w:pBd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Bdr>
          <w:bottom w:color="cccccc" w:space="4" w:sz="6" w:val="single"/>
        </w:pBd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Bdr>
          <w:bottom w:color="cccccc" w:space="4" w:sz="6" w:val="single"/>
        </w:pBdr>
        <w:spacing w:after="8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8"/>
          <w:szCs w:val="28"/>
          <w:rtl w:val="0"/>
        </w:rPr>
        <w:t xml:space="preserve">Pacote de Benefícios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100" w:before="30" w:lineRule="auto"/>
        <w:jc w:val="both"/>
        <w:rPr>
          <w:color w:val="888888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18"/>
          <w:szCs w:val="18"/>
          <w:rtl w:val="0"/>
        </w:rPr>
        <w:t xml:space="preserve">Benefícios bem estruturados compensam diferenças salariais e aumentam retenção. Divida entre fixos e flexíveis.</w:t>
      </w:r>
      <w:r w:rsidDel="00000000" w:rsidR="00000000" w:rsidRPr="00000000">
        <w:rPr>
          <w:rtl w:val="0"/>
        </w:rPr>
      </w:r>
    </w:p>
    <w:tbl>
      <w:tblPr>
        <w:tblStyle w:val="Table4"/>
        <w:tblW w:w="9990.0" w:type="dxa"/>
        <w:jc w:val="left"/>
        <w:tblInd w:w="-200.0" w:type="dxa"/>
        <w:tblLayout w:type="fixed"/>
        <w:tblLook w:val="0400"/>
      </w:tblPr>
      <w:tblGrid>
        <w:gridCol w:w="9990"/>
        <w:tblGridChange w:id="0">
          <w:tblGrid>
            <w:gridCol w:w="9990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4a4a4a" w:val="clear"/>
            <w:tcMar>
              <w:top w:w="80.0" w:type="dxa"/>
              <w:left w:w="200.0" w:type="dxa"/>
              <w:bottom w:w="7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2"/>
                <w:szCs w:val="22"/>
                <w:rtl w:val="0"/>
              </w:rPr>
              <w:t xml:space="preserve">◎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Benefícios Fixos - Todos os Colaboradores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55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2f2f2" w:val="clear"/>
            <w:tcMar>
              <w:top w:w="100.0" w:type="dxa"/>
              <w:left w:w="200.0" w:type="dxa"/>
              <w:bottom w:w="8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16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Plano de saúde, vale-refeição/alimentação, vale-transporte, seguro de vida, férias e 13º conforme CLT.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spacing w:after="0" w:before="2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color w:val="888888"/>
                <w:sz w:val="18"/>
                <w:szCs w:val="18"/>
                <w:rtl w:val="0"/>
              </w:rPr>
              <w:t xml:space="preserve">O que oferecemos hoje: (descreva abaixo)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0">
      <w:pPr>
        <w:spacing w:after="5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10005.0" w:type="dxa"/>
        <w:jc w:val="left"/>
        <w:tblInd w:w="-200.0" w:type="dxa"/>
        <w:tblLayout w:type="fixed"/>
        <w:tblLook w:val="0400"/>
      </w:tblPr>
      <w:tblGrid>
        <w:gridCol w:w="10005"/>
        <w:tblGridChange w:id="0">
          <w:tblGrid>
            <w:gridCol w:w="10005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4a4a4a" w:val="clear"/>
            <w:tcMar>
              <w:top w:w="80.0" w:type="dxa"/>
              <w:left w:w="200.0" w:type="dxa"/>
              <w:bottom w:w="7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2"/>
                <w:szCs w:val="22"/>
                <w:rtl w:val="0"/>
              </w:rPr>
              <w:t xml:space="preserve">◈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Benefícios Flexíveis - Por Nível ou Opção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55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2f2f2" w:val="clear"/>
            <w:tcMar>
              <w:top w:w="100.0" w:type="dxa"/>
              <w:left w:w="200.0" w:type="dxa"/>
              <w:bottom w:w="8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16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Gympass, home office, horário flexível, subsídio de educação, day-off no aniversário, licença parental estendida.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spacing w:after="0" w:before="2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color w:val="888888"/>
                <w:sz w:val="18"/>
                <w:szCs w:val="18"/>
                <w:rtl w:val="0"/>
              </w:rPr>
              <w:t xml:space="preserve">O que oferecemos hoje: (descreva abaixo)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4">
      <w:pPr>
        <w:spacing w:after="5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0035.0" w:type="dxa"/>
        <w:jc w:val="left"/>
        <w:tblInd w:w="-200.0" w:type="dxa"/>
        <w:tblLayout w:type="fixed"/>
        <w:tblLook w:val="0400"/>
      </w:tblPr>
      <w:tblGrid>
        <w:gridCol w:w="10035"/>
        <w:tblGridChange w:id="0">
          <w:tblGrid>
            <w:gridCol w:w="10035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4a4a4a" w:val="clear"/>
            <w:tcMar>
              <w:top w:w="80.0" w:type="dxa"/>
              <w:left w:w="200.0" w:type="dxa"/>
              <w:bottom w:w="7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2"/>
                <w:szCs w:val="22"/>
                <w:rtl w:val="0"/>
              </w:rPr>
              <w:t xml:space="preserve">▲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Benefícios de Desenvolvimento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29.0893554687502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2f2f2" w:val="clear"/>
            <w:tcMar>
              <w:top w:w="100.0" w:type="dxa"/>
              <w:left w:w="200.0" w:type="dxa"/>
              <w:bottom w:w="8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16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Orçamento anual para cursos e eventos, acesso a plataformas de aprendizado, mentoria externa, inglês corporativo.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spacing w:after="0" w:before="2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color w:val="888888"/>
                <w:sz w:val="18"/>
                <w:szCs w:val="18"/>
                <w:rtl w:val="0"/>
              </w:rPr>
              <w:t xml:space="preserve">O que oferecemos hoje: (descreva abaixo)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8">
      <w:pPr>
        <w:pBdr>
          <w:bottom w:color="cccccc" w:space="4" w:sz="6" w:val="single"/>
        </w:pBdr>
        <w:spacing w:after="80" w:before="0" w:lineRule="auto"/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8"/>
          <w:szCs w:val="28"/>
          <w:rtl w:val="0"/>
        </w:rPr>
        <w:t xml:space="preserve">Benchmark de Mercado</w:t>
      </w:r>
      <w:r w:rsidDel="00000000" w:rsidR="00000000" w:rsidRPr="00000000">
        <w:rPr>
          <w:rtl w:val="0"/>
        </w:rPr>
      </w:r>
    </w:p>
    <w:tbl>
      <w:tblPr>
        <w:tblStyle w:val="Table7"/>
        <w:tblW w:w="10050.0" w:type="dxa"/>
        <w:jc w:val="left"/>
        <w:tblInd w:w="-200.0" w:type="dxa"/>
        <w:tblLayout w:type="fixed"/>
        <w:tblLook w:val="0400"/>
      </w:tblPr>
      <w:tblGrid>
        <w:gridCol w:w="10050"/>
        <w:tblGridChange w:id="0">
          <w:tblGrid>
            <w:gridCol w:w="10050"/>
          </w:tblGrid>
        </w:tblGridChange>
      </w:tblGrid>
      <w:tr>
        <w:trPr>
          <w:cantSplit w:val="0"/>
          <w:trHeight w:val="4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100.0" w:type="dxa"/>
              <w:left w:w="200.0" w:type="dxa"/>
              <w:bottom w:w="8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14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4"/>
                <w:szCs w:val="24"/>
                <w:rtl w:val="0"/>
              </w:rPr>
              <w:t xml:space="preserve">★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Comparativo com o Mercado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 Startups do Mesmo Porte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spacing w:after="0" w:before="0" w:lineRule="auto"/>
              <w:rPr>
                <w:color w:val="d9d9d9"/>
              </w:rPr>
            </w:pPr>
            <w:r w:rsidDel="00000000" w:rsidR="00000000" w:rsidRPr="00000000">
              <w:rPr>
                <w:rFonts w:ascii="Arial" w:cs="Arial" w:eastAsia="Arial" w:hAnsi="Arial"/>
                <w:color w:val="d9d9d9"/>
                <w:sz w:val="18"/>
                <w:szCs w:val="18"/>
                <w:rtl w:val="0"/>
              </w:rPr>
              <w:t xml:space="preserve">Use dados de pesquisas salariais (ex: Gupy, Glassdoor, Hay Group, GPTW, Revelo).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25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2f2f2" w:val="clear"/>
            <w:tcMar>
              <w:top w:w="12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Fonte do benchmark: _____  |  Data de referência: _____</w:t>
              <w:br w:type="textWrapping"/>
              <w:t xml:space="preserve">Posicionamento atual: ☐ Abaixo do mercado  ☐ Na mediana  ☐ Acima da mediana</w:t>
              <w:br w:type="textWrapping"/>
              <w:t xml:space="preserve">Ajustes necessários identificados: </w:t>
            </w:r>
            <w:r w:rsidDel="00000000" w:rsidR="00000000" w:rsidRPr="00000000">
              <w:rPr>
                <w:rFonts w:ascii="Arial" w:cs="Arial" w:eastAsia="Arial" w:hAnsi="Arial"/>
                <w:color w:val="888888"/>
                <w:sz w:val="18"/>
                <w:szCs w:val="18"/>
                <w:rtl w:val="0"/>
              </w:rPr>
              <w:t xml:space="preserve">(descreva abaixo)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C">
      <w:pPr>
        <w:spacing w:after="14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Bdr>
          <w:bottom w:color="cccccc" w:space="4" w:sz="6" w:val="single"/>
        </w:pBdr>
        <w:spacing w:after="8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8"/>
          <w:szCs w:val="28"/>
          <w:rtl w:val="0"/>
        </w:rPr>
        <w:t xml:space="preserve">Desdobramentos - Próximos Passos</w:t>
      </w:r>
      <w:r w:rsidDel="00000000" w:rsidR="00000000" w:rsidRPr="00000000">
        <w:rPr>
          <w:rtl w:val="0"/>
        </w:rPr>
      </w:r>
    </w:p>
    <w:tbl>
      <w:tblPr>
        <w:tblStyle w:val="Table8"/>
        <w:tblW w:w="10065.0" w:type="dxa"/>
        <w:jc w:val="left"/>
        <w:tblInd w:w="-170.0" w:type="dxa"/>
        <w:tblLayout w:type="fixed"/>
        <w:tblLook w:val="0400"/>
      </w:tblPr>
      <w:tblGrid>
        <w:gridCol w:w="10065"/>
        <w:tblGridChange w:id="0">
          <w:tblGrid>
            <w:gridCol w:w="10065"/>
          </w:tblGrid>
        </w:tblGridChange>
      </w:tblGrid>
      <w:tr>
        <w:trPr>
          <w:cantSplit w:val="0"/>
          <w:trHeight w:val="1520" w:hRule="atLeast"/>
          <w:tblHeader w:val="0"/>
        </w:trPr>
        <w:tc>
          <w:tcPr>
            <w:tcBorders>
              <w:top w:color="000000" w:space="0" w:sz="0" w:val="nil"/>
              <w:left w:color="888888" w:space="0" w:sz="16" w:val="single"/>
              <w:bottom w:color="000000" w:space="0" w:sz="0" w:val="nil"/>
              <w:right w:color="000000" w:space="0" w:sz="0" w:val="nil"/>
            </w:tcBorders>
            <w:shd w:fill="eeeeee" w:val="clear"/>
            <w:tcMar>
              <w:top w:w="160.0" w:type="dxa"/>
              <w:left w:w="260.0" w:type="dxa"/>
              <w:bottom w:w="16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5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a6a6a"/>
                <w:sz w:val="16"/>
                <w:szCs w:val="16"/>
                <w:rtl w:val="0"/>
              </w:rPr>
              <w:t xml:space="preserve">COM BASE NA POLÍTICA DE REMUNERAÇÃO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spacing w:after="14" w:before="7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20"/>
                <w:szCs w:val="20"/>
                <w:rtl w:val="0"/>
              </w:rPr>
              <w:t xml:space="preserve">◎  Transparência Salarial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6a6a6a"/>
                <w:sz w:val="18"/>
                <w:szCs w:val="18"/>
                <w:rtl w:val="0"/>
              </w:rPr>
              <w:t xml:space="preserve">Publique as faixas salariais internamente. Transparência reduz insatisfação e percepção de injustiça.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spacing w:after="14" w:before="7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20"/>
                <w:szCs w:val="20"/>
                <w:rtl w:val="0"/>
              </w:rPr>
              <w:t xml:space="preserve">▲  Benchmark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20"/>
                <w:szCs w:val="20"/>
                <w:rtl w:val="0"/>
              </w:rPr>
              <w:t xml:space="preserve">Anual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6a6a6a"/>
                <w:sz w:val="18"/>
                <w:szCs w:val="18"/>
                <w:rtl w:val="0"/>
              </w:rPr>
              <w:t xml:space="preserve">Realize benchmark de mercado anualmente. Inflação e demanda por talentos mudam as referências todo ano.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spacing w:after="14" w:before="7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20"/>
                <w:szCs w:val="20"/>
                <w:rtl w:val="0"/>
              </w:rPr>
              <w:t xml:space="preserve">◈  Próximo Passo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6a6a6a"/>
                <w:sz w:val="18"/>
                <w:szCs w:val="18"/>
                <w:rtl w:val="0"/>
              </w:rPr>
              <w:t xml:space="preserve">Integre a política salarial ao plano de Performance de Times (SC14) para garantir que aumentos </w:t>
            </w:r>
            <w:r w:rsidDel="00000000" w:rsidR="00000000" w:rsidRPr="00000000">
              <w:rPr>
                <w:rFonts w:ascii="Arial" w:cs="Arial" w:eastAsia="Arial" w:hAnsi="Arial"/>
                <w:color w:val="6a6a6a"/>
                <w:sz w:val="18"/>
                <w:szCs w:val="18"/>
                <w:rtl w:val="0"/>
              </w:rPr>
              <w:t xml:space="preserve">reflitam</w:t>
            </w:r>
            <w:r w:rsidDel="00000000" w:rsidR="00000000" w:rsidRPr="00000000">
              <w:rPr>
                <w:rFonts w:ascii="Arial" w:cs="Arial" w:eastAsia="Arial" w:hAnsi="Arial"/>
                <w:color w:val="6a6a6a"/>
                <w:sz w:val="18"/>
                <w:szCs w:val="18"/>
                <w:rtl w:val="0"/>
              </w:rPr>
              <w:t xml:space="preserve"> no resultado.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spacing w:after="0" w:before="70" w:lineRule="auto"/>
              <w:rPr>
                <w:rFonts w:ascii="Arial" w:cs="Arial" w:eastAsia="Arial" w:hAnsi="Arial"/>
                <w:i w:val="1"/>
                <w:iCs w:val="1"/>
                <w:color w:val="9a9a9a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spacing w:after="0" w:before="7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6"/>
                <w:szCs w:val="16"/>
                <w:rtl w:val="0"/>
              </w:rPr>
              <w:t xml:space="preserve">Nota: Remuneração justa não é o maior motivador, mas remuneração injusta é o maior desmotivador.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headerReference r:id="rId7" w:type="default"/>
      <w:pgSz w:h="16838" w:w="11906" w:orient="portrait"/>
      <w:pgMar w:bottom="1134" w:top="1247" w:left="1134" w:right="113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8">
    <w:pPr>
      <w:rPr/>
    </w:pPr>
    <w:r w:rsidDel="00000000" w:rsidR="00000000" w:rsidRPr="00000000">
      <w:rPr/>
      <w:drawing>
        <wp:inline distB="114300" distT="114300" distL="114300" distR="114300">
          <wp:extent cx="1106897" cy="623888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27972" l="11329" r="12428" t="30420"/>
                  <a:stretch>
                    <a:fillRect/>
                  </a:stretch>
                </pic:blipFill>
                <pic:spPr>
                  <a:xfrm>
                    <a:off x="0" y="0"/>
                    <a:ext cx="1106897" cy="62388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Mb+VSIzheRaUXNhHY1m63zrcKEA==">CgMxLjA4AHIhMXo3ZlRCRDFZLXc0MkpWREVTSlp1ZWtPYUdmTENROFRr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