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SC14 · Performance de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95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mede-se a performance coletiva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não apenas individual.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Cada área deve ter KPIs claros e ciclos de avaliação formais. Paralelamente, a marca empregadora (Employer Branding) deve ser fortalecida para manter o fluxo de talentos constante.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870"/>
        <w:gridCol w:w="5910"/>
        <w:tblGridChange w:id="0">
          <w:tblGrid>
            <w:gridCol w:w="3870"/>
            <w:gridCol w:w="59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KPIs por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Cada departamento tem indicadores claros de performance que são revisados regularmente?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Ciclo de 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sabe quando e como será avaliado? Os critérios são transparentes?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Employer Brand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 empresa é percebida pelos talentos do mercado? Isso facilita ou dificulta contratações?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KPIs por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3 a 5 KPIs por área. KPIs demais fragmentam o foco - KPIs de menos criam pontos cegos.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 e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MRR gerado, pipeline ativo, taxa de conversão, ciclo médio de vendas, ticket médio, win rate.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e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Velocity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do time, taxa de bugs críticos,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de uptime, taxa de adoção de novas features, NPS interno.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NPS, churn mensal, health score médio da base, tempo de onboarding,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expansion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revenue gerado.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Marketing e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" w:before="0" w:lineRule="auto"/>
              <w:rPr>
                <w:color w:val="888888"/>
              </w:rPr>
            </w:pPr>
            <w:sdt>
              <w:sdtPr>
                <w:id w:val="3637527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888888"/>
                    <w:sz w:val="18"/>
                    <w:szCs w:val="18"/>
                    <w:rtl w:val="0"/>
                  </w:rPr>
                  <w:t xml:space="preserve">CAC por canal, MQLs gerados, taxa de conversão MQL → SQL, alcance orgânico, ROI de campanhas.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Operações e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Burn rate, margem bruta, precisão do forecast, prazo médio de pagamento, SLA de processos internos.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Ciclo de Performance - Avaliação de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 processo e a frequência das avaliações coletivas. Ciclos claros previnem avaliações subjetivas e surpresas.</w:t>
      </w: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Check-in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Revisão rápida de KPIs vs. metas com cada liderança de área. Ajustes táticos imediatos.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Avaliação 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Revisão de OKRs e KPIs do trimestre. Análise de desvios, causas e plano de ação para o próximo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Avaliação de performance individual e coletiva. Base para promoções, méritos e feedback estruturado.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Planejamento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Definição de OKRs e metas para o ano seguinte. Alinhamento com o BSC (SC01) e o roadmap (SC07).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Employer Branding - Marca Empregadora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 marca empregadora é o que os candidatos pensam e falam sobre trabalhar na empresa. Construída, não declarada.</w:t>
      </w:r>
      <w:r w:rsidDel="00000000" w:rsidR="00000000" w:rsidRPr="00000000">
        <w:rPr>
          <w:rtl w:val="0"/>
        </w:rPr>
      </w:r>
    </w:p>
    <w:tbl>
      <w:tblPr>
        <w:tblStyle w:val="Table12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Proposta de Valor ao Colaborador (EVP)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torna nossa empresa um lugar único para trabalhar? O que oferecemos além do salário?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Presença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LinkedIn da empresa, Glassdoor, conteúdo sobre cultura, bastidores e conquistas do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Indicação de Talentos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Programa de indicação interna: colaboradores satisfeitos atraem candidatos de qualidade superior.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5"/>
        <w:tblW w:w="9960.0" w:type="dxa"/>
        <w:jc w:val="left"/>
        <w:tblInd w:w="-26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PERFORMANCE DE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KPIs Visíveis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Publique os KPIs de cada área em um dashboard acessível a todo o time. Transparência de métricas gera responsabilidade coletiva.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Ciclos Regulares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 ciclo de avaliação trimestral. Consistência no processo é mais importante do que a perfeição do formato.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Fortaleça o Employer Branding para garantir que o crescimento da empresa não seja limitado pela dificuldade de atrair talentos.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Times de alta performance não surgem por acaso, são construídos com clareza de expectativa, feedback e reconhecimento.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BXqXJpDoNS7Nvvyf4Wi35pyTQ==">CgMxLjAaJAoBMBIfCh0IB0IZCgVBcmlhbBIQQXJpYWwgVW5pY29kZSBNUzgAciExTDc3R2tOeXZacDRwLTA0cElFZVlKVnp0amVXVi00RGQ=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