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SC17 · Parcerias e Ecossistema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26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Ninguém escala sozinho no topo. Parcerias estratégicas multiplicam o alcance sem multiplicar o custo.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o programa de parceiros da startup, revendas, indicadores e integrações tecnológicas, criando assim, um ecossistema que gera receita indireta e defensibilidade de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4815"/>
        <w:gridCol w:w="4980"/>
        <w:tblGridChange w:id="0">
          <w:tblGrid>
            <w:gridCol w:w="4815"/>
            <w:gridCol w:w="49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Tipo de Parceria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Revenda, indicação ou integração tecnológica? Qual modelo gera mais valor com menor gestão?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Incentivo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modelo de comissionamento é atrativo o suficiente para que o parceiro nos priorize?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Co-marketing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geramos visibilidade mútua e leads qualificados com os parceiros estratégicos?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Modelos de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qual modelo será implementado primeiro. Foco em um modelo antes de escalar para múltiplos.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REVENDA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Channel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parceiro vende o produto como se fosse próprio, recebendo comissão por cada venda fechada.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Comissão: _____%  |  Suporte de vendas oferecido: _____</w:t>
              <w:br w:type="textWrapping"/>
              <w:t xml:space="preserve">Critérios para ser parceiro revendedor: _____  |  Meta de parceiros ativos: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INDICAÇÃO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Referral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parceiro indica clientes e recebe comissão quando a venda é concluída - sem envolvimento no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Comissão por indicação convertida: _____%  |  Prazo de validade da indicação: _____ dias</w:t>
              <w:br w:type="textWrapping"/>
              <w:t xml:space="preserve">Processo de rastreamento de indicações: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INTEGRAÇÃO TECNOLÓGICA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Tech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parceiro integra sua solução ao produto, ampliando o valor entregue ao cliente comum.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Produto do parceiro: _____  |  Valor gerado pela integração: _____</w:t>
              <w:br w:type="textWrapping"/>
              <w:t xml:space="preserve">Estratégia de co-marketing: _____  |  Revenue share (se aplicável):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Revenue Share Model - Estrutura de Comissionamento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as regras de comissionamento antes de recrutar parceiros. Regras claras previnem conflitos e simplificam a gestão.</w:t>
      </w:r>
      <w:r w:rsidDel="00000000" w:rsidR="00000000" w:rsidRPr="00000000">
        <w:rPr>
          <w:rtl w:val="0"/>
        </w:rPr>
      </w:r>
    </w:p>
    <w:tbl>
      <w:tblPr>
        <w:tblStyle w:val="Table6"/>
        <w:tblW w:w="9675.0" w:type="dxa"/>
        <w:jc w:val="left"/>
        <w:tblInd w:w="-80.0" w:type="dxa"/>
        <w:tblLayout w:type="fixed"/>
        <w:tblLook w:val="0400"/>
      </w:tblPr>
      <w:tblGrid>
        <w:gridCol w:w="1935"/>
        <w:gridCol w:w="1635"/>
        <w:gridCol w:w="2235"/>
        <w:gridCol w:w="1935"/>
        <w:gridCol w:w="1935"/>
        <w:tblGridChange w:id="0">
          <w:tblGrid>
            <w:gridCol w:w="1935"/>
            <w:gridCol w:w="1635"/>
            <w:gridCol w:w="2235"/>
            <w:gridCol w:w="1935"/>
            <w:gridCol w:w="193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 DE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COMISSÃO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PRAZO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MÍNIMO DE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SUPORTE OFERECIDO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9999999999999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Revenda 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9999999999999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Revenda 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9999999999999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Indicação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9999999999999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Tech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Co-marketing com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Ações conjuntas multiplicam o alcance e geram leads qualificados em canais onde a startup ainda não tem presença.</w:t>
      </w:r>
      <w:r w:rsidDel="00000000" w:rsidR="00000000" w:rsidRPr="00000000">
        <w:rPr>
          <w:rtl w:val="0"/>
        </w:rPr>
      </w:r>
    </w:p>
    <w:tbl>
      <w:tblPr>
        <w:tblStyle w:val="Table7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Webinar e Conteúdo Conjunto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Produção de conteúdo educativo com o parceiro para as audiências de ambas as empresas.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Parceiro identificado: _______________  |  Próxima ação: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Co-presença em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Participação conjunta em feiras, conferências e meetups do setor.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Parceiro identificado: _______________  |  Próxima ação: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Sucesso Conjunto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Publicação de case com cliente em comum que usa os dois produtos integrados.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Parceiro identificado: _______________  |  Próxima ação: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Newsletter e Redes Sociais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Cross-promotion nas bases de e-mail e redes sociais dos parceiros.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Parceiro identificado: _______________  |  Próxima ação: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PARCERIAS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Ativar os Primeiros Parceiros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Selecione 3 a 5 parceiros estratégicos para o piloto. Qualidade do parceiro é mais importante que volume.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Criar o Partner Program Formal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as regras, benefícios e obrigações de cada “tier” de parceria. O programa formal atrai parceiros mais comprometidos.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Meça a receita gerada pelo canal de parcerias mensalmente. Parcerias que não geram receita ou leads qualificados devem ser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reavaliadas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ecossistema de parceiros é o canal de distribuição com maior ROI na escala, mas exige curadoria e gestão 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lC2Ez1A5mRuaYVDyTLDKOeDh2A==">CgMxLjA4AHIhMXVoZkF2amZnb3ZfZEoydV95dHlZVWtFNXJVVjBBbDN0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