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979D6" w14:textId="77777777" w:rsidR="00F31AA1" w:rsidRPr="004D6E2F" w:rsidRDefault="00F31AA1" w:rsidP="00F31AA1">
      <w:pPr>
        <w:rPr>
          <w:rFonts w:ascii="Arial" w:hAnsi="Arial" w:cs="Arial"/>
          <w:b/>
          <w:bCs/>
          <w:color w:val="242424"/>
          <w:sz w:val="24"/>
          <w:szCs w:val="24"/>
          <w:u w:val="single"/>
          <w:shd w:val="clear" w:color="auto" w:fill="FFFFFF"/>
        </w:rPr>
      </w:pPr>
      <w:r w:rsidRPr="004D6E2F">
        <w:rPr>
          <w:rFonts w:ascii="Arial" w:hAnsi="Arial" w:cs="Arial"/>
          <w:b/>
          <w:bCs/>
          <w:color w:val="242424"/>
          <w:sz w:val="24"/>
          <w:szCs w:val="24"/>
          <w:u w:val="single"/>
          <w:shd w:val="clear" w:color="auto" w:fill="FFFFFF"/>
        </w:rPr>
        <w:t>Colorectal cancer</w:t>
      </w:r>
    </w:p>
    <w:p w14:paraId="115BD18D" w14:textId="5750BDD2" w:rsidR="00F91714" w:rsidRDefault="00F31AA1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 Clinical description (if available already):</w:t>
      </w:r>
    </w:p>
    <w:p w14:paraId="4F8F0CCF" w14:textId="2091F9F8" w:rsidR="00736CE8" w:rsidRPr="00D45E3B" w:rsidRDefault="00736CE8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 w:rsidRPr="00D45E3B">
        <w:rPr>
          <w:rFonts w:ascii="Arial" w:hAnsi="Arial" w:cs="Arial"/>
          <w:color w:val="242424"/>
          <w:sz w:val="21"/>
          <w:szCs w:val="21"/>
          <w:shd w:val="clear" w:color="auto" w:fill="FFFFFF"/>
        </w:rPr>
        <w:t>Primary malignant neoplasm of colon</w:t>
      </w:r>
      <w:r w:rsidR="004D6E2F">
        <w:rPr>
          <w:rFonts w:ascii="Arial" w:hAnsi="Arial" w:cs="Arial"/>
          <w:color w:val="242424"/>
          <w:sz w:val="21"/>
          <w:szCs w:val="21"/>
          <w:shd w:val="clear" w:color="auto" w:fill="FFFFFF"/>
        </w:rPr>
        <w:t>:</w:t>
      </w:r>
      <w:r w:rsidRPr="00D45E3B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4D6E2F" w:rsidRPr="00D45E3B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Primary malignant neoplasm of </w:t>
      </w:r>
      <w:r w:rsidR="004D6E2F">
        <w:rPr>
          <w:rFonts w:ascii="Arial" w:hAnsi="Arial" w:cs="Arial"/>
          <w:color w:val="242424"/>
          <w:sz w:val="21"/>
          <w:szCs w:val="21"/>
          <w:shd w:val="clear" w:color="auto" w:fill="FFFFFF"/>
        </w:rPr>
        <w:t>rectum</w:t>
      </w:r>
    </w:p>
    <w:p w14:paraId="1E3A1712" w14:textId="7B513260" w:rsidR="00D64086" w:rsidRDefault="00F31AA1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color w:val="242424"/>
          <w:sz w:val="21"/>
          <w:szCs w:val="21"/>
        </w:rPr>
        <w:br/>
      </w:r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Overview</w:t>
      </w:r>
    </w:p>
    <w:p w14:paraId="47D610E3" w14:textId="35F9A1CB" w:rsidR="009570DC" w:rsidRPr="00A565D1" w:rsidRDefault="00DF7A88" w:rsidP="003762AA">
      <w:pPr>
        <w:spacing w:after="0"/>
        <w:jc w:val="both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Colorectal </w:t>
      </w:r>
      <w:r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cancers include malignant </w:t>
      </w:r>
      <w:r w:rsidR="005A1F0A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tumours</w:t>
      </w:r>
      <w:r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of the colon</w:t>
      </w:r>
      <w:r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and </w:t>
      </w:r>
      <w:r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rectum</w:t>
      </w:r>
      <w:r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. </w:t>
      </w:r>
      <w:r w:rsidR="00C154AE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Colorectal cancer </w:t>
      </w:r>
      <w:r w:rsidR="00E23D6B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is </w:t>
      </w:r>
      <w:r w:rsidR="00485CB6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the second </w:t>
      </w:r>
      <w:r w:rsidR="00E23D6B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cause of cancer death </w:t>
      </w:r>
      <w:r w:rsidR="00485CB6">
        <w:rPr>
          <w:rFonts w:ascii="Arial" w:hAnsi="Arial" w:cs="Arial"/>
          <w:color w:val="242424"/>
          <w:sz w:val="21"/>
          <w:szCs w:val="21"/>
          <w:shd w:val="clear" w:color="auto" w:fill="FFFFFF"/>
        </w:rPr>
        <w:t>globally</w:t>
      </w:r>
      <w:r w:rsidR="00922537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. </w:t>
      </w:r>
      <w:r w:rsidR="00482FF9">
        <w:rPr>
          <w:rFonts w:ascii="Arial" w:hAnsi="Arial" w:cs="Arial"/>
          <w:color w:val="242424"/>
          <w:sz w:val="21"/>
          <w:szCs w:val="21"/>
          <w:shd w:val="clear" w:color="auto" w:fill="FFFFFF"/>
        </w:rPr>
        <w:t>S</w:t>
      </w:r>
      <w:r w:rsidR="00482FF9" w:rsidRPr="009F0B09">
        <w:rPr>
          <w:rFonts w:ascii="Arial" w:hAnsi="Arial" w:cs="Arial"/>
          <w:color w:val="242424"/>
          <w:sz w:val="21"/>
          <w:szCs w:val="21"/>
          <w:shd w:val="clear" w:color="auto" w:fill="FFFFFF"/>
        </w:rPr>
        <w:t>ymptoms</w:t>
      </w:r>
      <w:r w:rsidR="00F9778E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of colorectal cancer</w:t>
      </w:r>
      <w:r w:rsidR="00482FF9" w:rsidRPr="009F0B09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F9778E">
        <w:rPr>
          <w:rFonts w:ascii="Arial" w:hAnsi="Arial" w:cs="Arial"/>
          <w:color w:val="242424"/>
          <w:sz w:val="21"/>
          <w:szCs w:val="21"/>
          <w:shd w:val="clear" w:color="auto" w:fill="FFFFFF"/>
        </w:rPr>
        <w:t>include</w:t>
      </w:r>
      <w:r w:rsidR="00F829C4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changes in bowel habits, rectal bleeding or blo</w:t>
      </w:r>
      <w:r w:rsidR="005D41FE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od in stools, abdominal discomfort, </w:t>
      </w:r>
      <w:r w:rsidR="008045DC">
        <w:rPr>
          <w:rFonts w:ascii="Arial" w:hAnsi="Arial" w:cs="Arial"/>
          <w:color w:val="242424"/>
          <w:sz w:val="21"/>
          <w:szCs w:val="21"/>
          <w:shd w:val="clear" w:color="auto" w:fill="FFFFFF"/>
        </w:rPr>
        <w:t>fatigue/weakness</w:t>
      </w:r>
      <w:r w:rsidR="009753A7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, </w:t>
      </w:r>
      <w:r w:rsidR="00E932AF">
        <w:rPr>
          <w:rFonts w:ascii="Arial" w:hAnsi="Arial" w:cs="Arial"/>
          <w:color w:val="242424"/>
          <w:sz w:val="21"/>
          <w:szCs w:val="21"/>
          <w:shd w:val="clear" w:color="auto" w:fill="FFFFFF"/>
        </w:rPr>
        <w:t>anaemia,</w:t>
      </w:r>
      <w:r w:rsidR="009753A7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324F93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and unexplained </w:t>
      </w:r>
      <w:r w:rsidR="00F9778E">
        <w:rPr>
          <w:rFonts w:ascii="Arial" w:hAnsi="Arial" w:cs="Arial"/>
          <w:color w:val="242424"/>
          <w:sz w:val="21"/>
          <w:szCs w:val="21"/>
          <w:shd w:val="clear" w:color="auto" w:fill="FFFFFF"/>
        </w:rPr>
        <w:t>weight loss</w:t>
      </w:r>
      <w:r w:rsidR="00865220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. </w:t>
      </w:r>
      <w:r w:rsidR="007231CD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I</w:t>
      </w:r>
      <w:r w:rsidR="00E23D6B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ncidence </w:t>
      </w:r>
      <w:r w:rsidR="00DB7BBD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and mortality rate</w:t>
      </w:r>
      <w:r w:rsidR="003B52D9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s</w:t>
      </w:r>
      <w:r w:rsidR="00E23D6B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3B52D9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have</w:t>
      </w:r>
      <w:r w:rsidR="00E23D6B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decreased significantly in individuals 50 years of age or older </w:t>
      </w:r>
      <w:r w:rsidR="009570DC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due</w:t>
      </w:r>
      <w:r w:rsidR="00E23D6B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to enhanced screening practices</w:t>
      </w:r>
      <w:r w:rsidR="003B52D9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3B52D9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resulting </w:t>
      </w:r>
      <w:r w:rsidR="003B52D9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in</w:t>
      </w:r>
      <w:r w:rsidR="003B52D9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early detection </w:t>
      </w:r>
      <w:r w:rsidR="006A38C9">
        <w:rPr>
          <w:rFonts w:ascii="Arial" w:hAnsi="Arial" w:cs="Arial"/>
          <w:color w:val="242424"/>
          <w:sz w:val="21"/>
          <w:szCs w:val="21"/>
          <w:shd w:val="clear" w:color="auto" w:fill="FFFFFF"/>
        </w:rPr>
        <w:t>as well as</w:t>
      </w:r>
      <w:r w:rsidR="003B52D9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improved treatment</w:t>
      </w:r>
      <w:r w:rsidR="003B52D9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s.</w:t>
      </w:r>
      <w:r w:rsidR="00F12506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922537">
        <w:rPr>
          <w:rFonts w:ascii="Arial" w:hAnsi="Arial" w:cs="Arial"/>
          <w:color w:val="242424"/>
          <w:sz w:val="21"/>
          <w:szCs w:val="21"/>
          <w:shd w:val="clear" w:color="auto" w:fill="FFFFFF"/>
        </w:rPr>
        <w:t>I</w:t>
      </w:r>
      <w:r w:rsidR="00D263EC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ncidence and mortality rates</w:t>
      </w:r>
      <w:r w:rsidR="00D263EC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EA0033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in under 50’s with no genetic risk factors or family history is increasing </w:t>
      </w:r>
      <w:r w:rsidR="00887815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each year. P</w:t>
      </w:r>
      <w:r w:rsidR="00887815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resence of symptoms in this age group often </w:t>
      </w:r>
      <w:r w:rsidR="00887815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are</w:t>
      </w:r>
      <w:r w:rsidR="00887815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initially attributed to other causes, resulting in a more advanced disease stage at the time of diagnosis</w:t>
      </w:r>
      <w:r w:rsidR="00887815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.</w:t>
      </w:r>
      <w:r w:rsidR="00922537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7D327B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Other than age</w:t>
      </w:r>
      <w:r w:rsidR="00E932AF">
        <w:rPr>
          <w:rFonts w:ascii="Arial" w:hAnsi="Arial" w:cs="Arial"/>
          <w:color w:val="242424"/>
          <w:sz w:val="21"/>
          <w:szCs w:val="21"/>
          <w:shd w:val="clear" w:color="auto" w:fill="FFFFFF"/>
        </w:rPr>
        <w:t>,</w:t>
      </w:r>
      <w:r w:rsidR="007D327B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risk factors include having inflammatory bowel diseases, family history, </w:t>
      </w:r>
      <w:r w:rsidR="00C9195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having </w:t>
      </w:r>
      <w:r w:rsidR="00C91951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high-risk</w:t>
      </w:r>
      <w:r w:rsidR="00F84800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genes</w:t>
      </w:r>
      <w:r w:rsidR="00E14AD2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,</w:t>
      </w:r>
      <w:r w:rsidR="007D327B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and lifestyle factors such as smoking, poor diet, physical </w:t>
      </w:r>
      <w:r w:rsidR="00961B17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inactivity,</w:t>
      </w:r>
      <w:r w:rsidR="00F84800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and</w:t>
      </w:r>
      <w:r w:rsidR="007D327B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961B17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obesity. Treatments</w:t>
      </w:r>
      <w:r w:rsidR="00DE52E2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include surgery</w:t>
      </w:r>
      <w:r w:rsidR="00C23135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, </w:t>
      </w:r>
      <w:r w:rsidR="00D435F8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chemotherapy</w:t>
      </w:r>
      <w:r w:rsidR="005A1F0A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and/or</w:t>
      </w:r>
      <w:r w:rsidR="00D435F8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radiotherapy but depend on </w:t>
      </w:r>
      <w:r w:rsidR="005A1F0A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tumour location, </w:t>
      </w:r>
      <w:r w:rsidR="006A4538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tumour type</w:t>
      </w:r>
      <w:r w:rsidR="00E932AF">
        <w:rPr>
          <w:rFonts w:ascii="Arial" w:hAnsi="Arial" w:cs="Arial"/>
          <w:color w:val="242424"/>
          <w:sz w:val="21"/>
          <w:szCs w:val="21"/>
          <w:shd w:val="clear" w:color="auto" w:fill="FFFFFF"/>
        </w:rPr>
        <w:t>, tumour stage and</w:t>
      </w:r>
      <w:r w:rsidR="00B734E9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location of any</w:t>
      </w:r>
      <w:r w:rsidR="00E932AF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B734E9" w:rsidRPr="00B734E9">
        <w:rPr>
          <w:rFonts w:ascii="Arial" w:hAnsi="Arial" w:cs="Arial"/>
          <w:color w:val="242424"/>
          <w:sz w:val="21"/>
          <w:szCs w:val="21"/>
          <w:shd w:val="clear" w:color="auto" w:fill="FFFFFF"/>
        </w:rPr>
        <w:t>metastasis</w:t>
      </w:r>
      <w:r w:rsidR="00B734E9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. </w:t>
      </w:r>
    </w:p>
    <w:p w14:paraId="4C38359B" w14:textId="77777777" w:rsidR="006214DC" w:rsidRPr="00A565D1" w:rsidRDefault="00F31AA1" w:rsidP="0015333E">
      <w:pPr>
        <w:spacing w:after="0"/>
        <w:jc w:val="both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color w:val="242424"/>
          <w:sz w:val="21"/>
          <w:szCs w:val="21"/>
        </w:rPr>
        <w:br/>
      </w:r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Presentation</w:t>
      </w:r>
    </w:p>
    <w:p w14:paraId="3BFD5389" w14:textId="74AA44D6" w:rsidR="008A3829" w:rsidRPr="00E778A4" w:rsidRDefault="008A3829" w:rsidP="0015333E">
      <w:pPr>
        <w:spacing w:after="0"/>
        <w:jc w:val="both"/>
        <w:rPr>
          <w:rFonts w:ascii="Arial" w:hAnsi="Arial" w:cs="Arial"/>
          <w:color w:val="242424"/>
          <w:sz w:val="21"/>
          <w:szCs w:val="21"/>
        </w:rPr>
      </w:pPr>
      <w:r w:rsidRPr="008A3829">
        <w:rPr>
          <w:rFonts w:ascii="Arial" w:hAnsi="Arial" w:cs="Arial"/>
          <w:color w:val="242424"/>
          <w:sz w:val="21"/>
          <w:szCs w:val="21"/>
        </w:rPr>
        <w:t xml:space="preserve">Symptoms </w:t>
      </w:r>
      <w:r w:rsidR="001E0E51">
        <w:rPr>
          <w:rFonts w:ascii="Arial" w:hAnsi="Arial" w:cs="Arial"/>
          <w:color w:val="242424"/>
          <w:sz w:val="21"/>
          <w:szCs w:val="21"/>
        </w:rPr>
        <w:t xml:space="preserve">can </w:t>
      </w:r>
      <w:r w:rsidRPr="008A3829">
        <w:rPr>
          <w:rFonts w:ascii="Arial" w:hAnsi="Arial" w:cs="Arial"/>
          <w:color w:val="242424"/>
          <w:sz w:val="21"/>
          <w:szCs w:val="21"/>
        </w:rPr>
        <w:t xml:space="preserve">vary with the anatomic location of the </w:t>
      </w:r>
      <w:r w:rsidR="00A055E6" w:rsidRPr="008A3829">
        <w:rPr>
          <w:rFonts w:ascii="Arial" w:hAnsi="Arial" w:cs="Arial"/>
          <w:color w:val="242424"/>
          <w:sz w:val="21"/>
          <w:szCs w:val="21"/>
        </w:rPr>
        <w:t>tumour</w:t>
      </w:r>
      <w:r w:rsidR="00B025D2">
        <w:rPr>
          <w:rFonts w:ascii="Arial" w:hAnsi="Arial" w:cs="Arial"/>
          <w:color w:val="242424"/>
          <w:sz w:val="21"/>
          <w:szCs w:val="21"/>
        </w:rPr>
        <w:t xml:space="preserve">. </w:t>
      </w:r>
      <w:r w:rsidR="00A359FA">
        <w:rPr>
          <w:rFonts w:ascii="Arial" w:hAnsi="Arial" w:cs="Arial"/>
          <w:color w:val="242424"/>
          <w:sz w:val="21"/>
          <w:szCs w:val="21"/>
        </w:rPr>
        <w:t xml:space="preserve">Common symptoms include change in bowel habits such as </w:t>
      </w:r>
      <w:r w:rsidR="00133549">
        <w:rPr>
          <w:rFonts w:ascii="Arial" w:hAnsi="Arial" w:cs="Arial"/>
          <w:color w:val="242424"/>
          <w:sz w:val="21"/>
          <w:szCs w:val="21"/>
        </w:rPr>
        <w:t>diarrhoea</w:t>
      </w:r>
      <w:r w:rsidR="00A359FA">
        <w:rPr>
          <w:rFonts w:ascii="Arial" w:hAnsi="Arial" w:cs="Arial"/>
          <w:color w:val="242424"/>
          <w:sz w:val="21"/>
          <w:szCs w:val="21"/>
        </w:rPr>
        <w:t xml:space="preserve"> or constipation</w:t>
      </w:r>
      <w:r w:rsidR="00133549">
        <w:rPr>
          <w:rFonts w:ascii="Arial" w:hAnsi="Arial" w:cs="Arial"/>
          <w:color w:val="242424"/>
          <w:sz w:val="21"/>
          <w:szCs w:val="21"/>
        </w:rPr>
        <w:t>,</w:t>
      </w:r>
      <w:r w:rsidR="0093690A">
        <w:rPr>
          <w:rFonts w:ascii="Arial" w:hAnsi="Arial" w:cs="Arial"/>
          <w:color w:val="242424"/>
          <w:sz w:val="21"/>
          <w:szCs w:val="21"/>
        </w:rPr>
        <w:t xml:space="preserve"> </w:t>
      </w:r>
      <w:r w:rsidR="009B04A5">
        <w:rPr>
          <w:rFonts w:ascii="Arial" w:hAnsi="Arial" w:cs="Arial"/>
          <w:color w:val="242424"/>
          <w:sz w:val="21"/>
          <w:szCs w:val="21"/>
        </w:rPr>
        <w:t>abdominal</w:t>
      </w:r>
      <w:r w:rsidR="0093690A">
        <w:rPr>
          <w:rFonts w:ascii="Arial" w:hAnsi="Arial" w:cs="Arial"/>
          <w:color w:val="242424"/>
          <w:sz w:val="21"/>
          <w:szCs w:val="21"/>
        </w:rPr>
        <w:t xml:space="preserve"> </w:t>
      </w:r>
      <w:r w:rsidR="009B04A5">
        <w:rPr>
          <w:rFonts w:ascii="Arial" w:hAnsi="Arial" w:cs="Arial"/>
          <w:color w:val="242424"/>
          <w:sz w:val="21"/>
          <w:szCs w:val="21"/>
        </w:rPr>
        <w:t>cramping</w:t>
      </w:r>
      <w:r w:rsidR="0093690A">
        <w:rPr>
          <w:rFonts w:ascii="Arial" w:hAnsi="Arial" w:cs="Arial"/>
          <w:color w:val="242424"/>
          <w:sz w:val="21"/>
          <w:szCs w:val="21"/>
        </w:rPr>
        <w:t>,</w:t>
      </w:r>
      <w:r w:rsidR="009B04A5">
        <w:rPr>
          <w:rFonts w:ascii="Arial" w:hAnsi="Arial" w:cs="Arial"/>
          <w:color w:val="242424"/>
          <w:sz w:val="21"/>
          <w:szCs w:val="21"/>
        </w:rPr>
        <w:t xml:space="preserve"> </w:t>
      </w:r>
      <w:r w:rsidR="00133549">
        <w:rPr>
          <w:rFonts w:ascii="Arial" w:hAnsi="Arial" w:cs="Arial"/>
          <w:color w:val="242424"/>
          <w:sz w:val="21"/>
          <w:szCs w:val="21"/>
        </w:rPr>
        <w:t xml:space="preserve">rectal bleeding and/or blood in stools, </w:t>
      </w:r>
      <w:r w:rsidR="00F93695">
        <w:rPr>
          <w:rFonts w:ascii="Arial" w:hAnsi="Arial" w:cs="Arial"/>
          <w:color w:val="242424"/>
          <w:sz w:val="21"/>
          <w:szCs w:val="21"/>
        </w:rPr>
        <w:t>tiredness,</w:t>
      </w:r>
      <w:r w:rsidR="007466BC">
        <w:rPr>
          <w:rFonts w:ascii="Arial" w:hAnsi="Arial" w:cs="Arial"/>
          <w:color w:val="242424"/>
          <w:sz w:val="21"/>
          <w:szCs w:val="21"/>
        </w:rPr>
        <w:t xml:space="preserve"> and fatigue</w:t>
      </w:r>
      <w:r w:rsidR="00E778A4">
        <w:rPr>
          <w:rFonts w:ascii="Arial" w:hAnsi="Arial" w:cs="Arial"/>
          <w:color w:val="242424"/>
          <w:sz w:val="21"/>
          <w:szCs w:val="21"/>
        </w:rPr>
        <w:t>.</w:t>
      </w:r>
    </w:p>
    <w:p w14:paraId="1CCF6DF5" w14:textId="444D2334" w:rsidR="00F93695" w:rsidRDefault="00F31AA1" w:rsidP="0015333E">
      <w:pPr>
        <w:spacing w:after="0"/>
        <w:jc w:val="both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Assessment</w:t>
      </w:r>
    </w:p>
    <w:p w14:paraId="6FE07B9B" w14:textId="22A94F4C" w:rsidR="001E0E51" w:rsidRPr="00057482" w:rsidRDefault="001C0AD6" w:rsidP="0015333E">
      <w:pPr>
        <w:spacing w:after="0"/>
        <w:jc w:val="both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42424"/>
          <w:sz w:val="21"/>
          <w:szCs w:val="21"/>
          <w:shd w:val="clear" w:color="auto" w:fill="FFFFFF"/>
        </w:rPr>
        <w:t>P</w:t>
      </w:r>
      <w:r w:rsidR="00891633" w:rsidRPr="00415010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hysical examination, </w:t>
      </w:r>
      <w:r w:rsidR="00057482" w:rsidRPr="00415010">
        <w:rPr>
          <w:rFonts w:ascii="Arial" w:hAnsi="Arial" w:cs="Arial"/>
          <w:color w:val="242424"/>
          <w:sz w:val="21"/>
          <w:szCs w:val="21"/>
          <w:shd w:val="clear" w:color="auto" w:fill="FFFFFF"/>
        </w:rPr>
        <w:t>colonoscopy</w:t>
      </w:r>
      <w:r w:rsidR="00057482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, </w:t>
      </w:r>
      <w:r w:rsidR="00891633" w:rsidRPr="00415010">
        <w:rPr>
          <w:rFonts w:ascii="Arial" w:hAnsi="Arial" w:cs="Arial"/>
          <w:color w:val="242424"/>
          <w:sz w:val="21"/>
          <w:szCs w:val="21"/>
          <w:shd w:val="clear" w:color="auto" w:fill="FFFFFF"/>
        </w:rPr>
        <w:t>blood</w:t>
      </w:r>
      <w:r w:rsidR="00057482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tests to assess liver function, plasm</w:t>
      </w:r>
      <w:r w:rsidR="00CA0B68">
        <w:rPr>
          <w:rFonts w:ascii="Arial" w:hAnsi="Arial" w:cs="Arial"/>
          <w:color w:val="242424"/>
          <w:sz w:val="21"/>
          <w:szCs w:val="21"/>
          <w:shd w:val="clear" w:color="auto" w:fill="FFFFFF"/>
        </w:rPr>
        <w:t>a</w:t>
      </w:r>
      <w:r w:rsidR="00057482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CEA levels</w:t>
      </w:r>
      <w:r w:rsidR="00891633" w:rsidRPr="00415010">
        <w:rPr>
          <w:rFonts w:ascii="Arial" w:hAnsi="Arial" w:cs="Arial"/>
          <w:color w:val="242424"/>
          <w:sz w:val="21"/>
          <w:szCs w:val="21"/>
          <w:shd w:val="clear" w:color="auto" w:fill="FFFFFF"/>
        </w:rPr>
        <w:t>, CT scan</w:t>
      </w:r>
      <w:r w:rsidR="00057482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of chest, </w:t>
      </w:r>
      <w:r w:rsidR="00773125">
        <w:rPr>
          <w:rFonts w:ascii="Arial" w:hAnsi="Arial" w:cs="Arial"/>
          <w:color w:val="242424"/>
          <w:sz w:val="21"/>
          <w:szCs w:val="21"/>
          <w:shd w:val="clear" w:color="auto" w:fill="FFFFFF"/>
        </w:rPr>
        <w:t>abdomen,</w:t>
      </w:r>
      <w:r w:rsidR="00057482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and pelvis.</w:t>
      </w:r>
    </w:p>
    <w:p w14:paraId="5CE687AD" w14:textId="3C2ECE2F" w:rsidR="00773125" w:rsidRDefault="00F31AA1" w:rsidP="0015333E">
      <w:pPr>
        <w:spacing w:after="0"/>
        <w:jc w:val="both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Plan</w:t>
      </w:r>
    </w:p>
    <w:p w14:paraId="26E94DDA" w14:textId="5844BDA3" w:rsidR="00311E4B" w:rsidRDefault="00381EDD" w:rsidP="0015333E">
      <w:pPr>
        <w:spacing w:after="0"/>
        <w:jc w:val="both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 w:rsidRPr="00381EDD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Total resection of </w:t>
      </w:r>
      <w:r w:rsidRPr="00381EDD">
        <w:rPr>
          <w:rFonts w:ascii="Arial" w:hAnsi="Arial" w:cs="Arial"/>
          <w:color w:val="242424"/>
          <w:sz w:val="21"/>
          <w:szCs w:val="21"/>
          <w:shd w:val="clear" w:color="auto" w:fill="FFFFFF"/>
        </w:rPr>
        <w:t>tumour</w:t>
      </w:r>
      <w:r w:rsidRPr="00381EDD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is the optimal treatment when a malignant lesion is detected in the large bowel</w:t>
      </w:r>
      <w:r w:rsidR="00A731ED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. </w:t>
      </w:r>
      <w:r w:rsidR="00EA5CFF" w:rsidRPr="00EA5CFF">
        <w:rPr>
          <w:rFonts w:ascii="Arial" w:hAnsi="Arial" w:cs="Arial"/>
          <w:color w:val="242424"/>
          <w:sz w:val="21"/>
          <w:szCs w:val="21"/>
          <w:shd w:val="clear" w:color="auto" w:fill="FFFFFF"/>
        </w:rPr>
        <w:t>Systemic therapy</w:t>
      </w:r>
      <w:r w:rsidR="00A731ED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(chemotherapy)</w:t>
      </w:r>
      <w:r w:rsidR="00EA5CFF" w:rsidRPr="00EA5CFF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for patients with colorectal cancer </w:t>
      </w:r>
      <w:r w:rsidR="00EA5CFF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includes </w:t>
      </w:r>
      <w:r w:rsidR="00B9591C" w:rsidRPr="00B9591C">
        <w:rPr>
          <w:rFonts w:ascii="Arial" w:hAnsi="Arial" w:cs="Arial"/>
          <w:color w:val="242424"/>
          <w:sz w:val="21"/>
          <w:szCs w:val="21"/>
          <w:shd w:val="clear" w:color="auto" w:fill="FFFFFF"/>
        </w:rPr>
        <w:t>5-fluorouraci</w:t>
      </w:r>
      <w:r w:rsidR="00062D33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l combined with other drugs such as </w:t>
      </w:r>
      <w:r w:rsidR="000C62C9">
        <w:rPr>
          <w:rFonts w:ascii="Arial" w:hAnsi="Arial" w:cs="Arial"/>
          <w:color w:val="242424"/>
          <w:sz w:val="21"/>
          <w:szCs w:val="21"/>
          <w:shd w:val="clear" w:color="auto" w:fill="FFFFFF"/>
        </w:rPr>
        <w:t>i</w:t>
      </w:r>
      <w:r w:rsidR="00062D33" w:rsidRPr="00062D33">
        <w:rPr>
          <w:rFonts w:ascii="Arial" w:hAnsi="Arial" w:cs="Arial"/>
          <w:color w:val="242424"/>
          <w:sz w:val="21"/>
          <w:szCs w:val="21"/>
          <w:shd w:val="clear" w:color="auto" w:fill="FFFFFF"/>
        </w:rPr>
        <w:t>rinotecan</w:t>
      </w:r>
      <w:r w:rsidR="00A029ED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, </w:t>
      </w:r>
      <w:r w:rsidR="00820DD8">
        <w:rPr>
          <w:rFonts w:ascii="Arial" w:hAnsi="Arial" w:cs="Arial"/>
          <w:color w:val="242424"/>
          <w:sz w:val="21"/>
          <w:szCs w:val="21"/>
          <w:shd w:val="clear" w:color="auto" w:fill="FFFFFF"/>
        </w:rPr>
        <w:t>o</w:t>
      </w:r>
      <w:r w:rsidR="00A029ED" w:rsidRPr="00A029ED">
        <w:rPr>
          <w:rFonts w:ascii="Arial" w:hAnsi="Arial" w:cs="Arial"/>
          <w:color w:val="242424"/>
          <w:sz w:val="21"/>
          <w:szCs w:val="21"/>
          <w:shd w:val="clear" w:color="auto" w:fill="FFFFFF"/>
        </w:rPr>
        <w:t>xaliplatin</w:t>
      </w:r>
      <w:r w:rsidR="00820DD8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. </w:t>
      </w:r>
      <w:r w:rsidR="00E32F50">
        <w:rPr>
          <w:rFonts w:ascii="Arial" w:hAnsi="Arial" w:cs="Arial"/>
          <w:color w:val="242424"/>
          <w:sz w:val="21"/>
          <w:szCs w:val="21"/>
          <w:shd w:val="clear" w:color="auto" w:fill="FFFFFF"/>
        </w:rPr>
        <w:t>Type and duration of chemotherapy will depend can depend on tumour staging and genetic</w:t>
      </w:r>
      <w:r w:rsidR="00E32F50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mutations in the cancer</w:t>
      </w:r>
      <w:r w:rsidR="00E32F50">
        <w:rPr>
          <w:rFonts w:ascii="Arial" w:hAnsi="Arial" w:cs="Arial"/>
          <w:color w:val="242424"/>
          <w:sz w:val="21"/>
          <w:szCs w:val="21"/>
          <w:shd w:val="clear" w:color="auto" w:fill="FFFFFF"/>
        </w:rPr>
        <w:t>.</w:t>
      </w:r>
      <w:r w:rsidR="00E32F50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356A5C" w:rsidRPr="00356A5C">
        <w:rPr>
          <w:rFonts w:ascii="Arial" w:hAnsi="Arial" w:cs="Arial"/>
          <w:color w:val="242424"/>
          <w:sz w:val="21"/>
          <w:szCs w:val="21"/>
          <w:shd w:val="clear" w:color="auto" w:fill="FFFFFF"/>
        </w:rPr>
        <w:t>In rectal cancer, the delivery of preoperative or postoperative combined-modality therapy (5-FU or capecitabine plus radiation therapy</w:t>
      </w:r>
      <w:r w:rsidR="00356A5C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to the pelvis</w:t>
      </w:r>
      <w:r w:rsidR="00EB4884">
        <w:rPr>
          <w:rFonts w:ascii="Arial" w:hAnsi="Arial" w:cs="Arial"/>
          <w:color w:val="242424"/>
          <w:sz w:val="21"/>
          <w:szCs w:val="21"/>
          <w:shd w:val="clear" w:color="auto" w:fill="FFFFFF"/>
        </w:rPr>
        <w:t>)</w:t>
      </w:r>
      <w:r w:rsidR="00356A5C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can be given.</w:t>
      </w:r>
      <w:r w:rsidR="00EB4884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820DD8" w:rsidRPr="00820DD8">
        <w:rPr>
          <w:rFonts w:ascii="Arial" w:hAnsi="Arial" w:cs="Arial"/>
          <w:color w:val="242424"/>
          <w:sz w:val="21"/>
          <w:szCs w:val="21"/>
          <w:shd w:val="clear" w:color="auto" w:fill="FFFFFF"/>
        </w:rPr>
        <w:t>Monoclonal antibodies</w:t>
      </w:r>
      <w:r w:rsidR="00CB062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such as </w:t>
      </w:r>
      <w:r w:rsidR="00CB0621" w:rsidRPr="00CB0621">
        <w:rPr>
          <w:rFonts w:ascii="Arial" w:hAnsi="Arial" w:cs="Arial"/>
          <w:color w:val="242424"/>
          <w:sz w:val="21"/>
          <w:szCs w:val="21"/>
          <w:shd w:val="clear" w:color="auto" w:fill="FFFFFF"/>
        </w:rPr>
        <w:t>cetuximab</w:t>
      </w:r>
      <w:r w:rsidR="00EB4884">
        <w:rPr>
          <w:rFonts w:ascii="Arial" w:hAnsi="Arial" w:cs="Arial"/>
          <w:color w:val="242424"/>
          <w:sz w:val="21"/>
          <w:szCs w:val="21"/>
          <w:shd w:val="clear" w:color="auto" w:fill="FFFFFF"/>
        </w:rPr>
        <w:t>,</w:t>
      </w:r>
      <w:r w:rsidR="00CB0621" w:rsidRPr="00CB062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panitumumab</w:t>
      </w:r>
      <w:r w:rsidR="00EB4884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and</w:t>
      </w:r>
      <w:r w:rsidR="00EB4884" w:rsidRPr="00EB4884">
        <w:t xml:space="preserve"> </w:t>
      </w:r>
      <w:r w:rsidR="00EB4884">
        <w:rPr>
          <w:rFonts w:ascii="Arial" w:hAnsi="Arial" w:cs="Arial"/>
          <w:color w:val="242424"/>
          <w:sz w:val="21"/>
          <w:szCs w:val="21"/>
          <w:shd w:val="clear" w:color="auto" w:fill="FFFFFF"/>
        </w:rPr>
        <w:t>b</w:t>
      </w:r>
      <w:r w:rsidR="00EB4884" w:rsidRPr="00EB4884">
        <w:rPr>
          <w:rFonts w:ascii="Arial" w:hAnsi="Arial" w:cs="Arial"/>
          <w:color w:val="242424"/>
          <w:sz w:val="21"/>
          <w:szCs w:val="21"/>
          <w:shd w:val="clear" w:color="auto" w:fill="FFFFFF"/>
        </w:rPr>
        <w:t>evacizumab</w:t>
      </w:r>
      <w:r w:rsidR="00820DD8" w:rsidRPr="00820DD8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are also effective in patients with advanced colorectal cancer</w:t>
      </w:r>
      <w:r w:rsidR="00CB0621">
        <w:rPr>
          <w:rFonts w:ascii="Arial" w:hAnsi="Arial" w:cs="Arial"/>
          <w:color w:val="242424"/>
          <w:sz w:val="21"/>
          <w:szCs w:val="21"/>
          <w:shd w:val="clear" w:color="auto" w:fill="FFFFFF"/>
        </w:rPr>
        <w:t>.</w:t>
      </w:r>
      <w:r w:rsidR="00820DD8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</w:p>
    <w:p w14:paraId="69EA4D35" w14:textId="2EBB277C" w:rsidR="00FA377D" w:rsidRDefault="00F31AA1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Prognosis</w:t>
      </w:r>
    </w:p>
    <w:p w14:paraId="62609421" w14:textId="5C4E7121" w:rsidR="0015333E" w:rsidRPr="002E1C8E" w:rsidRDefault="00D72E16" w:rsidP="002E1C8E">
      <w:pPr>
        <w:spacing w:after="0"/>
        <w:jc w:val="both"/>
      </w:pPr>
      <w:r>
        <w:rPr>
          <w:rFonts w:ascii="Arial" w:hAnsi="Arial" w:cs="Arial"/>
          <w:color w:val="242424"/>
          <w:sz w:val="21"/>
          <w:szCs w:val="21"/>
          <w:shd w:val="clear" w:color="auto" w:fill="FFFFFF"/>
        </w:rPr>
        <w:t>Prognosis</w:t>
      </w:r>
      <w:r w:rsidRPr="00D72E16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is related to the depth of </w:t>
      </w:r>
      <w:r w:rsidR="002C472B" w:rsidRPr="00D72E16">
        <w:rPr>
          <w:rFonts w:ascii="Arial" w:hAnsi="Arial" w:cs="Arial"/>
          <w:color w:val="242424"/>
          <w:sz w:val="21"/>
          <w:szCs w:val="21"/>
          <w:shd w:val="clear" w:color="auto" w:fill="FFFFFF"/>
        </w:rPr>
        <w:t>tumour</w:t>
      </w:r>
      <w:r w:rsidRPr="00D72E16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penetration into the bowel wall and the presence of both regional lymph node involvement and distant metastases</w:t>
      </w:r>
      <w:r w:rsidR="0001216F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. </w:t>
      </w:r>
      <w:r w:rsidR="003F198C">
        <w:rPr>
          <w:rFonts w:ascii="Arial" w:hAnsi="Arial" w:cs="Arial"/>
          <w:color w:val="242424"/>
          <w:sz w:val="21"/>
          <w:szCs w:val="21"/>
          <w:shd w:val="clear" w:color="auto" w:fill="FFFFFF"/>
        </w:rPr>
        <w:t>Higher tumour penetration, lymp</w:t>
      </w:r>
      <w:r w:rsidR="00224C48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h node involvement and distant </w:t>
      </w:r>
      <w:r w:rsidR="00224C48" w:rsidRPr="00D72E16">
        <w:rPr>
          <w:rFonts w:ascii="Arial" w:hAnsi="Arial" w:cs="Arial"/>
          <w:color w:val="242424"/>
          <w:sz w:val="21"/>
          <w:szCs w:val="21"/>
          <w:shd w:val="clear" w:color="auto" w:fill="FFFFFF"/>
        </w:rPr>
        <w:t>metastases</w:t>
      </w:r>
      <w:r w:rsidR="00224C48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have a poorer prognosis</w:t>
      </w:r>
      <w:r w:rsidR="00D34F98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and lower survival</w:t>
      </w:r>
      <w:r w:rsidR="00905362">
        <w:rPr>
          <w:rFonts w:ascii="Arial" w:hAnsi="Arial" w:cs="Arial"/>
          <w:color w:val="242424"/>
          <w:sz w:val="21"/>
          <w:szCs w:val="21"/>
          <w:shd w:val="clear" w:color="auto" w:fill="FFFFFF"/>
        </w:rPr>
        <w:t>.</w:t>
      </w:r>
      <w:r w:rsidR="009D05F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9D05F1" w:rsidRPr="009D05F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Most recurrences after a surgical resection of a large-bowel cancer occur within the first 4 years, making 5-year survival a </w:t>
      </w:r>
      <w:r w:rsidR="002E1C8E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fairly </w:t>
      </w:r>
      <w:r w:rsidR="005E32E1" w:rsidRPr="009D05F1">
        <w:rPr>
          <w:rFonts w:ascii="Arial" w:hAnsi="Arial" w:cs="Arial"/>
          <w:color w:val="242424"/>
          <w:sz w:val="21"/>
          <w:szCs w:val="21"/>
          <w:shd w:val="clear" w:color="auto" w:fill="FFFFFF"/>
        </w:rPr>
        <w:t>reliable</w:t>
      </w:r>
      <w:r w:rsidR="009D05F1" w:rsidRPr="009D05F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indicator of cure</w:t>
      </w:r>
      <w:r w:rsidR="005E32E1">
        <w:rPr>
          <w:rFonts w:ascii="Arial" w:hAnsi="Arial" w:cs="Arial"/>
          <w:color w:val="242424"/>
          <w:sz w:val="21"/>
          <w:szCs w:val="21"/>
          <w:shd w:val="clear" w:color="auto" w:fill="FFFFFF"/>
        </w:rPr>
        <w:t>.</w:t>
      </w:r>
    </w:p>
    <w:p w14:paraId="5E51358A" w14:textId="77777777" w:rsidR="00C0219C" w:rsidRPr="00A565D1" w:rsidRDefault="00F31AA1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MedDRA PTs</w:t>
      </w:r>
    </w:p>
    <w:p w14:paraId="212BDF8C" w14:textId="77777777" w:rsidR="00C0219C" w:rsidRPr="00A565D1" w:rsidRDefault="00C0219C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NA</w:t>
      </w:r>
    </w:p>
    <w:p w14:paraId="547CC3D6" w14:textId="1BB84B9C" w:rsidR="00CE1F59" w:rsidRDefault="00F31AA1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Disqualifiers</w:t>
      </w:r>
    </w:p>
    <w:p w14:paraId="25CB309B" w14:textId="63E322A5" w:rsidR="00FD12B7" w:rsidRPr="005C24D6" w:rsidRDefault="00AF502D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 w:rsidRPr="005C24D6">
        <w:rPr>
          <w:rFonts w:ascii="Arial" w:hAnsi="Arial" w:cs="Arial"/>
          <w:color w:val="242424"/>
          <w:sz w:val="21"/>
          <w:szCs w:val="21"/>
          <w:shd w:val="clear" w:color="auto" w:fill="FFFFFF"/>
        </w:rPr>
        <w:t>Benign</w:t>
      </w:r>
      <w:r w:rsidR="00FD12B7" w:rsidRPr="005C24D6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B07338">
        <w:rPr>
          <w:rFonts w:ascii="Arial" w:hAnsi="Arial" w:cs="Arial"/>
          <w:color w:val="242424"/>
          <w:sz w:val="21"/>
          <w:szCs w:val="21"/>
          <w:shd w:val="clear" w:color="auto" w:fill="FFFFFF"/>
        </w:rPr>
        <w:t>tumours/polyps, s</w:t>
      </w:r>
      <w:r w:rsidR="00FD12B7" w:rsidRPr="005C24D6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econdary </w:t>
      </w:r>
      <w:r w:rsidR="00B07338">
        <w:rPr>
          <w:rFonts w:ascii="Arial" w:hAnsi="Arial" w:cs="Arial"/>
          <w:color w:val="242424"/>
          <w:sz w:val="21"/>
          <w:szCs w:val="21"/>
          <w:shd w:val="clear" w:color="auto" w:fill="FFFFFF"/>
        </w:rPr>
        <w:t>disease</w:t>
      </w:r>
      <w:r w:rsidR="00370EC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, unknown primary, in situ </w:t>
      </w:r>
    </w:p>
    <w:p w14:paraId="14F1F7EA" w14:textId="77777777" w:rsidR="00CE1F59" w:rsidRDefault="00F31AA1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Strengtheners</w:t>
      </w:r>
    </w:p>
    <w:p w14:paraId="73688CE0" w14:textId="24F29236" w:rsidR="00CE1F59" w:rsidRDefault="00CE1F59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415010">
        <w:rPr>
          <w:rFonts w:ascii="Arial" w:hAnsi="Arial" w:cs="Arial"/>
          <w:color w:val="242424"/>
          <w:sz w:val="21"/>
          <w:szCs w:val="21"/>
          <w:shd w:val="clear" w:color="auto" w:fill="FFFFFF"/>
        </w:rPr>
        <w:t>C</w:t>
      </w:r>
      <w:r w:rsidRPr="00415010">
        <w:rPr>
          <w:rFonts w:ascii="Arial" w:hAnsi="Arial" w:cs="Arial"/>
          <w:color w:val="242424"/>
          <w:sz w:val="21"/>
          <w:szCs w:val="21"/>
          <w:shd w:val="clear" w:color="auto" w:fill="FFFFFF"/>
        </w:rPr>
        <w:t>olonoscopy</w:t>
      </w:r>
      <w:r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procedure</w:t>
      </w:r>
      <w:r w:rsidR="000C62C9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, chemotherapy </w:t>
      </w:r>
      <w:r w:rsidR="004117BE">
        <w:rPr>
          <w:rFonts w:ascii="Arial" w:hAnsi="Arial" w:cs="Arial"/>
          <w:color w:val="242424"/>
          <w:sz w:val="21"/>
          <w:szCs w:val="21"/>
          <w:shd w:val="clear" w:color="auto" w:fill="FFFFFF"/>
        </w:rPr>
        <w:t>(</w:t>
      </w:r>
      <w:r w:rsidR="004117BE" w:rsidRPr="00B9591C">
        <w:rPr>
          <w:rFonts w:ascii="Arial" w:hAnsi="Arial" w:cs="Arial"/>
          <w:color w:val="242424"/>
          <w:sz w:val="21"/>
          <w:szCs w:val="21"/>
          <w:shd w:val="clear" w:color="auto" w:fill="FFFFFF"/>
        </w:rPr>
        <w:t>5-fluorouraci</w:t>
      </w:r>
      <w:r w:rsidR="004117BE">
        <w:rPr>
          <w:rFonts w:ascii="Arial" w:hAnsi="Arial" w:cs="Arial"/>
          <w:color w:val="242424"/>
          <w:sz w:val="21"/>
          <w:szCs w:val="21"/>
          <w:shd w:val="clear" w:color="auto" w:fill="FFFFFF"/>
        </w:rPr>
        <w:t>l combined with other drugs such as i</w:t>
      </w:r>
      <w:r w:rsidR="004117BE" w:rsidRPr="00062D33">
        <w:rPr>
          <w:rFonts w:ascii="Arial" w:hAnsi="Arial" w:cs="Arial"/>
          <w:color w:val="242424"/>
          <w:sz w:val="21"/>
          <w:szCs w:val="21"/>
          <w:shd w:val="clear" w:color="auto" w:fill="FFFFFF"/>
        </w:rPr>
        <w:t>rinotecan</w:t>
      </w:r>
      <w:r w:rsidR="004117BE">
        <w:rPr>
          <w:rFonts w:ascii="Arial" w:hAnsi="Arial" w:cs="Arial"/>
          <w:color w:val="242424"/>
          <w:sz w:val="21"/>
          <w:szCs w:val="21"/>
          <w:shd w:val="clear" w:color="auto" w:fill="FFFFFF"/>
        </w:rPr>
        <w:t>, o</w:t>
      </w:r>
      <w:r w:rsidR="004117BE" w:rsidRPr="00A029ED">
        <w:rPr>
          <w:rFonts w:ascii="Arial" w:hAnsi="Arial" w:cs="Arial"/>
          <w:color w:val="242424"/>
          <w:sz w:val="21"/>
          <w:szCs w:val="21"/>
          <w:shd w:val="clear" w:color="auto" w:fill="FFFFFF"/>
        </w:rPr>
        <w:t>xaliplatin</w:t>
      </w:r>
      <w:r w:rsidR="004117BE">
        <w:rPr>
          <w:rFonts w:ascii="Arial" w:hAnsi="Arial" w:cs="Arial"/>
          <w:color w:val="242424"/>
          <w:sz w:val="21"/>
          <w:szCs w:val="21"/>
          <w:shd w:val="clear" w:color="auto" w:fill="FFFFFF"/>
        </w:rPr>
        <w:t>)</w:t>
      </w:r>
    </w:p>
    <w:p w14:paraId="09B3C96F" w14:textId="2EA6C1CE" w:rsidR="00F31AA1" w:rsidRDefault="00F31AA1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b/>
          <w:bCs/>
          <w:color w:val="242424"/>
          <w:sz w:val="21"/>
          <w:szCs w:val="21"/>
        </w:rPr>
        <w:lastRenderedPageBreak/>
        <w:br/>
      </w:r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Suggested Logic Description</w:t>
      </w:r>
    </w:p>
    <w:p w14:paraId="4E65B7B4" w14:textId="2F455340" w:rsidR="000B1BF5" w:rsidRDefault="000B1BF5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</w:p>
    <w:p w14:paraId="11979672" w14:textId="7542522B" w:rsidR="000B1BF5" w:rsidRDefault="000B1BF5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 w:rsidRPr="00DB3FE7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Malignant </w:t>
      </w:r>
      <w:r w:rsidR="00DB3FE7" w:rsidRPr="00DB3FE7">
        <w:rPr>
          <w:rFonts w:ascii="Arial" w:hAnsi="Arial" w:cs="Arial"/>
          <w:color w:val="242424"/>
          <w:sz w:val="21"/>
          <w:szCs w:val="21"/>
          <w:shd w:val="clear" w:color="auto" w:fill="FFFFFF"/>
        </w:rPr>
        <w:t>neoplasm of colon or rectum and descendants</w:t>
      </w:r>
      <w:r w:rsidR="00DA739D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using Codelist generator</w:t>
      </w:r>
    </w:p>
    <w:p w14:paraId="4C61065C" w14:textId="413DD442" w:rsidR="00DB3FE7" w:rsidRDefault="00DB3FE7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</w:p>
    <w:p w14:paraId="7C04C3D6" w14:textId="70475387" w:rsidR="00DB3FE7" w:rsidRPr="00EE2431" w:rsidRDefault="00DB3FE7" w:rsidP="00DA739D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E2431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&lt;&lt;Table of </w:t>
      </w:r>
      <w:r w:rsidR="00EE2431" w:rsidRPr="00EE2431">
        <w:rPr>
          <w:rFonts w:ascii="Arial" w:hAnsi="Arial" w:cs="Arial"/>
          <w:color w:val="FF0000"/>
          <w:sz w:val="21"/>
          <w:szCs w:val="21"/>
          <w:shd w:val="clear" w:color="auto" w:fill="FFFFFF"/>
        </w:rPr>
        <w:t>concepts from description above with inclusion/exclusion stated&gt;&gt;</w:t>
      </w:r>
    </w:p>
    <w:p w14:paraId="509DC07B" w14:textId="4EEE18A2" w:rsidR="00D57F4B" w:rsidRPr="00A565D1" w:rsidRDefault="00D57F4B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</w:p>
    <w:p w14:paraId="1F33D28C" w14:textId="16BC7269" w:rsidR="00D57F4B" w:rsidRPr="00A565D1" w:rsidRDefault="00D57F4B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References</w:t>
      </w:r>
    </w:p>
    <w:p w14:paraId="17D24F3A" w14:textId="737DCE32" w:rsidR="004A1728" w:rsidRPr="00A065C5" w:rsidRDefault="004A1728" w:rsidP="004A17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sz w:val="21"/>
          <w:szCs w:val="21"/>
          <w:lang w:eastAsia="en-GB"/>
        </w:rPr>
      </w:pPr>
      <w:r w:rsidRPr="004A1728">
        <w:rPr>
          <w:rFonts w:ascii="Arial" w:eastAsia="Times New Roman" w:hAnsi="Arial" w:cs="Arial"/>
          <w:color w:val="24292F"/>
          <w:sz w:val="21"/>
          <w:szCs w:val="21"/>
          <w:lang w:eastAsia="en-GB"/>
        </w:rPr>
        <w:t>Loscalzo, Fauci, Kasper, Hauser, Longo, Jameson: “Harrison’s Principles of Internal Medicine” 21st Edition McGrawHill, Chapter 106: Acute Lymphoid Leukemia by Dieter Hoelzer</w:t>
      </w:r>
    </w:p>
    <w:p w14:paraId="3B78D4E9" w14:textId="0EACA7DA" w:rsidR="00A565D1" w:rsidRPr="00A065C5" w:rsidRDefault="00A565D1" w:rsidP="00A565D1">
      <w:pPr>
        <w:autoSpaceDE w:val="0"/>
        <w:autoSpaceDN w:val="0"/>
        <w:rPr>
          <w:rFonts w:ascii="Arial" w:eastAsia="Times New Roman" w:hAnsi="Arial" w:cs="Arial"/>
          <w:sz w:val="21"/>
          <w:szCs w:val="21"/>
        </w:rPr>
      </w:pPr>
      <w:r w:rsidRPr="00A065C5">
        <w:rPr>
          <w:rFonts w:ascii="Arial" w:eastAsia="Times New Roman" w:hAnsi="Arial" w:cs="Arial"/>
          <w:sz w:val="21"/>
          <w:szCs w:val="21"/>
        </w:rPr>
        <w:t xml:space="preserve">Johnson, C. M., Wei, C., Ensor, J. E., Smolenski, D. J., Amos, C. I., Levin, B., &amp; Berry, D. A. (2013). Meta-analyses of Colorectal Cancer Risk Factors. </w:t>
      </w:r>
      <w:r w:rsidRPr="00A065C5">
        <w:rPr>
          <w:rFonts w:ascii="Arial" w:eastAsia="Times New Roman" w:hAnsi="Arial" w:cs="Arial"/>
          <w:i/>
          <w:iCs/>
          <w:sz w:val="21"/>
          <w:szCs w:val="21"/>
        </w:rPr>
        <w:t>Cancer Causes &amp; Control : CCC</w:t>
      </w:r>
      <w:r w:rsidRPr="00A065C5">
        <w:rPr>
          <w:rFonts w:ascii="Arial" w:eastAsia="Times New Roman" w:hAnsi="Arial" w:cs="Arial"/>
          <w:sz w:val="21"/>
          <w:szCs w:val="21"/>
        </w:rPr>
        <w:t xml:space="preserve">, </w:t>
      </w:r>
      <w:r w:rsidRPr="00A065C5">
        <w:rPr>
          <w:rFonts w:ascii="Arial" w:eastAsia="Times New Roman" w:hAnsi="Arial" w:cs="Arial"/>
          <w:i/>
          <w:iCs/>
          <w:sz w:val="21"/>
          <w:szCs w:val="21"/>
        </w:rPr>
        <w:t>24</w:t>
      </w:r>
      <w:r w:rsidRPr="00A065C5">
        <w:rPr>
          <w:rFonts w:ascii="Arial" w:eastAsia="Times New Roman" w:hAnsi="Arial" w:cs="Arial"/>
          <w:sz w:val="21"/>
          <w:szCs w:val="21"/>
        </w:rPr>
        <w:t xml:space="preserve">(6), 1207. </w:t>
      </w:r>
      <w:hyperlink r:id="rId6" w:history="1">
        <w:r w:rsidR="00246DC2" w:rsidRPr="00A065C5">
          <w:rPr>
            <w:rStyle w:val="Hyperlink"/>
            <w:rFonts w:ascii="Arial" w:eastAsia="Times New Roman" w:hAnsi="Arial" w:cs="Arial"/>
            <w:sz w:val="21"/>
            <w:szCs w:val="21"/>
          </w:rPr>
          <w:t>https://doi.org/10.1007/S10552-013-0201-5</w:t>
        </w:r>
      </w:hyperlink>
    </w:p>
    <w:p w14:paraId="1F3C460B" w14:textId="52D9841E" w:rsidR="00246DC2" w:rsidRPr="00A065C5" w:rsidRDefault="00246DC2" w:rsidP="00246DC2">
      <w:pPr>
        <w:rPr>
          <w:rFonts w:ascii="Arial" w:eastAsia="Times New Roman" w:hAnsi="Arial" w:cs="Arial"/>
          <w:sz w:val="21"/>
          <w:szCs w:val="21"/>
        </w:rPr>
      </w:pPr>
      <w:r w:rsidRPr="00A065C5">
        <w:rPr>
          <w:rFonts w:ascii="Arial" w:eastAsia="Times New Roman" w:hAnsi="Arial" w:cs="Arial"/>
          <w:sz w:val="21"/>
          <w:szCs w:val="21"/>
        </w:rPr>
        <w:t>Xi, Y., &amp; Xu, P. (2021). Global colorectal cancer burden in 2020 and projections to 2040. Translational Oncology, 14(10), 101174. https://doi.org/10.1016/J.TRANON.2021.101174</w:t>
      </w:r>
    </w:p>
    <w:p w14:paraId="09EDB12C" w14:textId="18DC0CBE" w:rsidR="00D86038" w:rsidRPr="00A065C5" w:rsidRDefault="00A065C5" w:rsidP="00A065C5">
      <w:pPr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</w:rPr>
        <w:br w:type="page"/>
      </w:r>
      <w:r w:rsidR="00D86038" w:rsidRPr="00A065C5">
        <w:rPr>
          <w:rFonts w:ascii="Arial" w:hAnsi="Arial" w:cs="Arial"/>
          <w:b/>
          <w:bCs/>
          <w:color w:val="242424"/>
          <w:sz w:val="24"/>
          <w:szCs w:val="24"/>
          <w:u w:val="single"/>
          <w:shd w:val="clear" w:color="auto" w:fill="FFFFFF"/>
        </w:rPr>
        <w:lastRenderedPageBreak/>
        <w:t>Breast cancer</w:t>
      </w:r>
    </w:p>
    <w:p w14:paraId="2921A601" w14:textId="77777777" w:rsidR="00292520" w:rsidRDefault="00573949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065C5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 Clinical description (if available already):</w:t>
      </w:r>
      <w:r w:rsidRPr="00A065C5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065C5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Overview</w:t>
      </w:r>
    </w:p>
    <w:p w14:paraId="55772439" w14:textId="60A6BEA8" w:rsidR="00292520" w:rsidRPr="00292520" w:rsidRDefault="00292520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 w:rsidRPr="00292520">
        <w:rPr>
          <w:rFonts w:ascii="Arial" w:hAnsi="Arial" w:cs="Arial"/>
          <w:color w:val="242424"/>
          <w:sz w:val="21"/>
          <w:szCs w:val="21"/>
          <w:shd w:val="clear" w:color="auto" w:fill="FFFFFF"/>
        </w:rPr>
        <w:t>Breast cancer is a malignant proliferation of epithelial cells lining the ducts or lobules of the breast</w:t>
      </w:r>
      <w:r>
        <w:rPr>
          <w:rFonts w:ascii="Arial" w:hAnsi="Arial" w:cs="Arial"/>
          <w:color w:val="242424"/>
          <w:sz w:val="21"/>
          <w:szCs w:val="21"/>
          <w:shd w:val="clear" w:color="auto" w:fill="FFFFFF"/>
        </w:rPr>
        <w:t>.</w:t>
      </w:r>
    </w:p>
    <w:p w14:paraId="1B5C62F4" w14:textId="0AEA316F" w:rsidR="00573949" w:rsidRPr="00A065C5" w:rsidRDefault="00573949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065C5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065C5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Presentation</w:t>
      </w:r>
      <w:r w:rsidRPr="00A065C5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065C5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Assessment</w:t>
      </w:r>
      <w:r w:rsidRPr="00A065C5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065C5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Plan</w:t>
      </w:r>
      <w:r w:rsidRPr="00A065C5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065C5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Prognosis</w:t>
      </w:r>
      <w:r w:rsidRPr="00A065C5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065C5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MedDRA PTs</w:t>
      </w:r>
      <w:r w:rsidRPr="00A065C5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065C5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Disqualifiers</w:t>
      </w:r>
      <w:r w:rsidRPr="00A065C5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065C5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Strengtheners</w:t>
      </w:r>
      <w:r w:rsidRPr="00A065C5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065C5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Suggested Logic Description</w:t>
      </w:r>
    </w:p>
    <w:p w14:paraId="6992B06A" w14:textId="3B86D003" w:rsidR="00573949" w:rsidRPr="00A565D1" w:rsidRDefault="00573949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</w:p>
    <w:p w14:paraId="3DE6E672" w14:textId="77777777" w:rsidR="00573949" w:rsidRPr="00A565D1" w:rsidRDefault="00573949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</w:p>
    <w:p w14:paraId="2AEA3BFA" w14:textId="5E2377B5" w:rsidR="00D86038" w:rsidRPr="00A065C5" w:rsidRDefault="00D86038" w:rsidP="00CD6032">
      <w:pPr>
        <w:spacing w:after="0"/>
        <w:rPr>
          <w:rFonts w:ascii="Arial" w:hAnsi="Arial" w:cs="Arial"/>
          <w:b/>
          <w:bCs/>
          <w:color w:val="242424"/>
          <w:sz w:val="24"/>
          <w:szCs w:val="24"/>
          <w:u w:val="single"/>
          <w:shd w:val="clear" w:color="auto" w:fill="FFFFFF"/>
        </w:rPr>
      </w:pPr>
      <w:r w:rsidRPr="00A065C5">
        <w:rPr>
          <w:rFonts w:ascii="Arial" w:hAnsi="Arial" w:cs="Arial"/>
          <w:b/>
          <w:bCs/>
          <w:color w:val="242424"/>
          <w:sz w:val="24"/>
          <w:szCs w:val="24"/>
          <w:u w:val="single"/>
          <w:shd w:val="clear" w:color="auto" w:fill="FFFFFF"/>
        </w:rPr>
        <w:t>Prostate cancer</w:t>
      </w:r>
    </w:p>
    <w:p w14:paraId="424CDD98" w14:textId="77777777" w:rsidR="00573949" w:rsidRPr="00FA0A2C" w:rsidRDefault="00573949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 Clinical description (if available already):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Overview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Presentation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Assessment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Plan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Prognosis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MedDRA PTs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Disqualifiers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Strengtheners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Suggested Logic Description</w:t>
      </w:r>
    </w:p>
    <w:p w14:paraId="11B441DC" w14:textId="77777777" w:rsidR="00573949" w:rsidRPr="00A565D1" w:rsidRDefault="00573949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</w:p>
    <w:p w14:paraId="361559A3" w14:textId="4B4F4600" w:rsidR="00D86038" w:rsidRPr="00FA0A2C" w:rsidRDefault="00573949" w:rsidP="00CD6032">
      <w:pPr>
        <w:spacing w:after="0"/>
        <w:rPr>
          <w:rFonts w:ascii="Arial" w:hAnsi="Arial" w:cs="Arial"/>
          <w:b/>
          <w:bCs/>
          <w:color w:val="242424"/>
          <w:sz w:val="24"/>
          <w:szCs w:val="24"/>
          <w:u w:val="single"/>
          <w:shd w:val="clear" w:color="auto" w:fill="FFFFFF"/>
        </w:rPr>
      </w:pPr>
      <w:r w:rsidRPr="00FA0A2C">
        <w:rPr>
          <w:rFonts w:ascii="Arial" w:hAnsi="Arial" w:cs="Arial"/>
          <w:b/>
          <w:bCs/>
          <w:color w:val="242424"/>
          <w:sz w:val="24"/>
          <w:szCs w:val="24"/>
          <w:u w:val="single"/>
          <w:shd w:val="clear" w:color="auto" w:fill="FFFFFF"/>
        </w:rPr>
        <w:t>Lung cancer</w:t>
      </w:r>
    </w:p>
    <w:p w14:paraId="19DDD77A" w14:textId="77777777" w:rsidR="00573949" w:rsidRPr="00FA0A2C" w:rsidRDefault="00573949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 Clinical description (if available already):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Overview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Presentation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Assessment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Plan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Prognosis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MedDRA PTs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Disqualifiers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Strengtheners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Suggested Logic Description</w:t>
      </w:r>
    </w:p>
    <w:p w14:paraId="3B3D46DE" w14:textId="77777777" w:rsidR="00573949" w:rsidRPr="00A565D1" w:rsidRDefault="00573949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</w:p>
    <w:p w14:paraId="592C566E" w14:textId="38D47676" w:rsidR="00573949" w:rsidRPr="00FA0A2C" w:rsidRDefault="00573949" w:rsidP="00CD6032">
      <w:pPr>
        <w:spacing w:after="0"/>
        <w:rPr>
          <w:rFonts w:ascii="Arial" w:hAnsi="Arial" w:cs="Arial"/>
          <w:b/>
          <w:bCs/>
          <w:color w:val="242424"/>
          <w:sz w:val="24"/>
          <w:szCs w:val="24"/>
          <w:u w:val="single"/>
          <w:shd w:val="clear" w:color="auto" w:fill="FFFFFF"/>
        </w:rPr>
      </w:pPr>
      <w:r w:rsidRPr="00FA0A2C">
        <w:rPr>
          <w:rFonts w:ascii="Arial" w:hAnsi="Arial" w:cs="Arial"/>
          <w:b/>
          <w:bCs/>
          <w:color w:val="242424"/>
          <w:sz w:val="24"/>
          <w:szCs w:val="24"/>
          <w:u w:val="single"/>
          <w:shd w:val="clear" w:color="auto" w:fill="FFFFFF"/>
        </w:rPr>
        <w:t>Liver cancer</w:t>
      </w:r>
    </w:p>
    <w:p w14:paraId="6EA03331" w14:textId="77777777" w:rsidR="00573949" w:rsidRPr="00FA0A2C" w:rsidRDefault="00573949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 Clinical description (if available already):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Overview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Presentation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Assessment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Plan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Prognosis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MedDRA PTs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Disqualifiers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Strengtheners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Suggested Logic Description</w:t>
      </w:r>
    </w:p>
    <w:p w14:paraId="5D78866D" w14:textId="77777777" w:rsidR="00573949" w:rsidRPr="00A565D1" w:rsidRDefault="00573949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</w:p>
    <w:p w14:paraId="0FE89DF5" w14:textId="73C9F569" w:rsidR="00573949" w:rsidRPr="00FA0A2C" w:rsidRDefault="00573949" w:rsidP="00CD6032">
      <w:pPr>
        <w:spacing w:after="0"/>
        <w:rPr>
          <w:rFonts w:ascii="Arial" w:hAnsi="Arial" w:cs="Arial"/>
          <w:b/>
          <w:bCs/>
          <w:color w:val="242424"/>
          <w:sz w:val="24"/>
          <w:szCs w:val="24"/>
          <w:u w:val="single"/>
          <w:shd w:val="clear" w:color="auto" w:fill="FFFFFF"/>
        </w:rPr>
      </w:pPr>
      <w:r w:rsidRPr="00FA0A2C">
        <w:rPr>
          <w:rFonts w:ascii="Arial" w:hAnsi="Arial" w:cs="Arial"/>
          <w:b/>
          <w:bCs/>
          <w:color w:val="242424"/>
          <w:sz w:val="24"/>
          <w:szCs w:val="24"/>
          <w:u w:val="single"/>
          <w:shd w:val="clear" w:color="auto" w:fill="FFFFFF"/>
        </w:rPr>
        <w:lastRenderedPageBreak/>
        <w:t>Stomach cancer</w:t>
      </w:r>
    </w:p>
    <w:p w14:paraId="12D8D0C5" w14:textId="77777777" w:rsidR="00573949" w:rsidRPr="00FA0A2C" w:rsidRDefault="00573949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 Clinical description (if available already):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Overview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Presentation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Assessment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Plan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Prognosis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MedDRA PTs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Disqualifiers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Strengtheners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Suggested Logic Description</w:t>
      </w:r>
    </w:p>
    <w:p w14:paraId="25D8B9FA" w14:textId="77777777" w:rsidR="00573949" w:rsidRPr="00A565D1" w:rsidRDefault="00573949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</w:p>
    <w:p w14:paraId="4D3EAA4E" w14:textId="77777777" w:rsidR="00573949" w:rsidRPr="00A565D1" w:rsidRDefault="00573949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</w:p>
    <w:p w14:paraId="266FC2F2" w14:textId="090E477B" w:rsidR="00D86038" w:rsidRPr="00A565D1" w:rsidRDefault="00D86038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</w:p>
    <w:p w14:paraId="33097B56" w14:textId="77777777" w:rsidR="00573949" w:rsidRPr="00E01A31" w:rsidRDefault="00573949" w:rsidP="00CD6032">
      <w:pPr>
        <w:spacing w:after="0" w:line="240" w:lineRule="auto"/>
        <w:rPr>
          <w:rFonts w:ascii="Arial" w:hAnsi="Arial" w:cs="Arial"/>
          <w:b/>
          <w:bCs/>
          <w:color w:val="242424"/>
          <w:sz w:val="24"/>
          <w:szCs w:val="24"/>
          <w:u w:val="single"/>
          <w:shd w:val="clear" w:color="auto" w:fill="FFFFFF"/>
        </w:rPr>
      </w:pPr>
      <w:r w:rsidRPr="00E01A31">
        <w:rPr>
          <w:rFonts w:ascii="Arial" w:hAnsi="Arial" w:cs="Arial"/>
          <w:b/>
          <w:bCs/>
          <w:color w:val="242424"/>
          <w:sz w:val="24"/>
          <w:szCs w:val="24"/>
          <w:u w:val="single"/>
          <w:shd w:val="clear" w:color="auto" w:fill="FFFFFF"/>
        </w:rPr>
        <w:t>Head and neck cancer</w:t>
      </w:r>
    </w:p>
    <w:p w14:paraId="55A83D9B" w14:textId="77777777" w:rsidR="00573949" w:rsidRPr="00E01A31" w:rsidRDefault="00573949" w:rsidP="00CD6032">
      <w:pPr>
        <w:spacing w:after="0" w:line="240" w:lineRule="auto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E01A3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 Clinical description (if available already):</w:t>
      </w:r>
      <w:r w:rsidRPr="00E01A3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E01A3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Overview</w:t>
      </w:r>
      <w:r w:rsidRPr="00E01A3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E01A3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Presentation</w:t>
      </w:r>
      <w:r w:rsidRPr="00E01A3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E01A3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Assessment</w:t>
      </w:r>
      <w:r w:rsidRPr="00E01A3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E01A3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Plan</w:t>
      </w:r>
      <w:r w:rsidRPr="00E01A3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E01A3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Prognosis</w:t>
      </w:r>
      <w:r w:rsidRPr="00E01A3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E01A3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MedDRA PTs</w:t>
      </w:r>
      <w:r w:rsidRPr="00E01A3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E01A3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Disqualifiers</w:t>
      </w:r>
      <w:r w:rsidRPr="00E01A3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E01A3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Strengtheners</w:t>
      </w:r>
      <w:r w:rsidRPr="00E01A3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E01A3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Suggested Logic Description</w:t>
      </w:r>
    </w:p>
    <w:p w14:paraId="03D8E658" w14:textId="77777777" w:rsidR="00573949" w:rsidRPr="00A565D1" w:rsidRDefault="00573949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</w:p>
    <w:p w14:paraId="2ED397A4" w14:textId="3250543A" w:rsidR="00D86038" w:rsidRPr="00A565D1" w:rsidRDefault="00D86038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</w:p>
    <w:p w14:paraId="4EBC04A5" w14:textId="690D1087" w:rsidR="00573949" w:rsidRPr="004C0661" w:rsidRDefault="00573949" w:rsidP="00CD6032">
      <w:pPr>
        <w:spacing w:after="0"/>
        <w:rPr>
          <w:rFonts w:ascii="Arial" w:hAnsi="Arial" w:cs="Arial"/>
          <w:b/>
          <w:bCs/>
          <w:color w:val="242424"/>
          <w:sz w:val="24"/>
          <w:szCs w:val="24"/>
          <w:u w:val="single"/>
          <w:shd w:val="clear" w:color="auto" w:fill="FFFFFF"/>
        </w:rPr>
      </w:pPr>
      <w:r w:rsidRPr="004C0661">
        <w:rPr>
          <w:rFonts w:ascii="Arial" w:hAnsi="Arial" w:cs="Arial"/>
          <w:b/>
          <w:bCs/>
          <w:color w:val="242424"/>
          <w:sz w:val="24"/>
          <w:szCs w:val="24"/>
          <w:u w:val="single"/>
          <w:shd w:val="clear" w:color="auto" w:fill="FFFFFF"/>
        </w:rPr>
        <w:t>Dummy</w:t>
      </w:r>
    </w:p>
    <w:p w14:paraId="7CF1EA0B" w14:textId="77777777" w:rsidR="003E6DAF" w:rsidRPr="00A565D1" w:rsidRDefault="00713692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 Clinical description (if available already):</w:t>
      </w:r>
      <w:r w:rsidRPr="00A565D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Overview</w:t>
      </w:r>
    </w:p>
    <w:p w14:paraId="01D8387D" w14:textId="3358E163" w:rsidR="00101F58" w:rsidRPr="004C0661" w:rsidRDefault="003E6DAF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Overview of disease</w:t>
      </w:r>
      <w:r w:rsidR="00713692" w:rsidRPr="00A565D1">
        <w:rPr>
          <w:rFonts w:ascii="Arial" w:hAnsi="Arial" w:cs="Arial"/>
          <w:color w:val="242424"/>
          <w:sz w:val="21"/>
          <w:szCs w:val="21"/>
        </w:rPr>
        <w:br/>
      </w:r>
      <w:r w:rsidR="00713692"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Presentation</w:t>
      </w:r>
    </w:p>
    <w:p w14:paraId="584D4B48" w14:textId="1C169D8B" w:rsidR="00101F58" w:rsidRPr="00A565D1" w:rsidRDefault="00101F58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Symptoms</w:t>
      </w:r>
      <w:r w:rsidR="00713692" w:rsidRPr="00A565D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="00713692"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Assessment</w:t>
      </w:r>
    </w:p>
    <w:p w14:paraId="709E3FC4" w14:textId="1E6AA879" w:rsidR="003E6DAF" w:rsidRPr="00A565D1" w:rsidRDefault="00673FC8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Diagnostic procedures</w:t>
      </w:r>
      <w:r w:rsidR="00713692" w:rsidRPr="00A565D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="00713692"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Plan</w:t>
      </w:r>
    </w:p>
    <w:p w14:paraId="32BBA12B" w14:textId="3E42576E" w:rsidR="00673FC8" w:rsidRDefault="003E6DAF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Treatment</w:t>
      </w:r>
      <w:r w:rsidR="00101F58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s – surgery, drugs etc</w:t>
      </w:r>
      <w:r w:rsidR="00713692" w:rsidRPr="00A565D1">
        <w:rPr>
          <w:rFonts w:ascii="Arial" w:hAnsi="Arial" w:cs="Arial"/>
          <w:color w:val="242424"/>
          <w:sz w:val="21"/>
          <w:szCs w:val="21"/>
        </w:rPr>
        <w:br/>
      </w:r>
      <w:r w:rsidR="00713692"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Prognosis</w:t>
      </w:r>
      <w:r w:rsidR="00713692" w:rsidRPr="00A565D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="00713692"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MedDRA PTs</w:t>
      </w:r>
      <w:r w:rsidR="00713692" w:rsidRPr="00A565D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="00713692"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Disqualifiers</w:t>
      </w:r>
    </w:p>
    <w:p w14:paraId="1220F0E1" w14:textId="00D6A1A0" w:rsidR="004C0661" w:rsidRPr="004C0661" w:rsidRDefault="004C0661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 w:rsidRPr="004C066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e.g. if you have T1D you cant have </w:t>
      </w:r>
      <w:r w:rsidR="002C3D1A">
        <w:rPr>
          <w:rFonts w:ascii="Arial" w:hAnsi="Arial" w:cs="Arial"/>
          <w:color w:val="242424"/>
          <w:sz w:val="21"/>
          <w:szCs w:val="21"/>
          <w:shd w:val="clear" w:color="auto" w:fill="FFFFFF"/>
        </w:rPr>
        <w:t>T2D</w:t>
      </w:r>
    </w:p>
    <w:p w14:paraId="740BE330" w14:textId="4868B2AB" w:rsidR="00673FC8" w:rsidRDefault="00713692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Strengtheners</w:t>
      </w:r>
    </w:p>
    <w:p w14:paraId="739B2EBF" w14:textId="06B1A584" w:rsidR="004C0661" w:rsidRPr="00B25855" w:rsidRDefault="004C0661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 w:rsidRPr="00B25855">
        <w:rPr>
          <w:rFonts w:ascii="Arial" w:hAnsi="Arial" w:cs="Arial"/>
          <w:color w:val="242424"/>
          <w:sz w:val="21"/>
          <w:szCs w:val="21"/>
          <w:shd w:val="clear" w:color="auto" w:fill="FFFFFF"/>
        </w:rPr>
        <w:t>Having insulin therapy but no other oral ant dia</w:t>
      </w:r>
      <w:r w:rsidR="00B25855" w:rsidRPr="00B25855">
        <w:rPr>
          <w:rFonts w:ascii="Arial" w:hAnsi="Arial" w:cs="Arial"/>
          <w:color w:val="242424"/>
          <w:sz w:val="21"/>
          <w:szCs w:val="21"/>
          <w:shd w:val="clear" w:color="auto" w:fill="FFFFFF"/>
        </w:rPr>
        <w:t>betes medications</w:t>
      </w:r>
    </w:p>
    <w:p w14:paraId="480F45BF" w14:textId="1F82B2A3" w:rsidR="004278A8" w:rsidRPr="00A565D1" w:rsidRDefault="00713692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Suggested Logic Description</w:t>
      </w:r>
    </w:p>
    <w:sectPr w:rsidR="004278A8" w:rsidRPr="00A56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85C62"/>
    <w:multiLevelType w:val="multilevel"/>
    <w:tmpl w:val="ECBC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296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692"/>
    <w:rsid w:val="0001216F"/>
    <w:rsid w:val="00057482"/>
    <w:rsid w:val="00062D33"/>
    <w:rsid w:val="000B1BF5"/>
    <w:rsid w:val="000C62C9"/>
    <w:rsid w:val="000C7DE3"/>
    <w:rsid w:val="000D653C"/>
    <w:rsid w:val="00101F58"/>
    <w:rsid w:val="00133549"/>
    <w:rsid w:val="0015333E"/>
    <w:rsid w:val="001673D1"/>
    <w:rsid w:val="001C0AD6"/>
    <w:rsid w:val="001E0E51"/>
    <w:rsid w:val="00224C48"/>
    <w:rsid w:val="00246DC2"/>
    <w:rsid w:val="00292520"/>
    <w:rsid w:val="002932C1"/>
    <w:rsid w:val="002B4826"/>
    <w:rsid w:val="002C3D1A"/>
    <w:rsid w:val="002C472B"/>
    <w:rsid w:val="002C474C"/>
    <w:rsid w:val="002E1C8E"/>
    <w:rsid w:val="00310B9D"/>
    <w:rsid w:val="00311E4B"/>
    <w:rsid w:val="00324F93"/>
    <w:rsid w:val="00326CF2"/>
    <w:rsid w:val="00356A5C"/>
    <w:rsid w:val="00370EC1"/>
    <w:rsid w:val="00373C6C"/>
    <w:rsid w:val="003762AA"/>
    <w:rsid w:val="00381EDD"/>
    <w:rsid w:val="003B52D9"/>
    <w:rsid w:val="003D327B"/>
    <w:rsid w:val="003E6DAF"/>
    <w:rsid w:val="003F198C"/>
    <w:rsid w:val="00404AAE"/>
    <w:rsid w:val="004117BE"/>
    <w:rsid w:val="00415010"/>
    <w:rsid w:val="004278A8"/>
    <w:rsid w:val="00482FF9"/>
    <w:rsid w:val="00485CB6"/>
    <w:rsid w:val="004A1728"/>
    <w:rsid w:val="004C0661"/>
    <w:rsid w:val="004D6E2F"/>
    <w:rsid w:val="00573949"/>
    <w:rsid w:val="005A1F0A"/>
    <w:rsid w:val="005C24D6"/>
    <w:rsid w:val="005D41FE"/>
    <w:rsid w:val="005E32E1"/>
    <w:rsid w:val="005F6748"/>
    <w:rsid w:val="006214DC"/>
    <w:rsid w:val="00651107"/>
    <w:rsid w:val="00664227"/>
    <w:rsid w:val="00665087"/>
    <w:rsid w:val="00673FC8"/>
    <w:rsid w:val="006A38C9"/>
    <w:rsid w:val="006A4538"/>
    <w:rsid w:val="00713692"/>
    <w:rsid w:val="007231CD"/>
    <w:rsid w:val="00736CE8"/>
    <w:rsid w:val="007466BC"/>
    <w:rsid w:val="00765B20"/>
    <w:rsid w:val="00773125"/>
    <w:rsid w:val="00773929"/>
    <w:rsid w:val="007D327B"/>
    <w:rsid w:val="007E0491"/>
    <w:rsid w:val="008045DC"/>
    <w:rsid w:val="00820DD8"/>
    <w:rsid w:val="00821826"/>
    <w:rsid w:val="00865220"/>
    <w:rsid w:val="00874CE8"/>
    <w:rsid w:val="008869E4"/>
    <w:rsid w:val="00887815"/>
    <w:rsid w:val="00891633"/>
    <w:rsid w:val="008A3829"/>
    <w:rsid w:val="008B1233"/>
    <w:rsid w:val="008B5DDE"/>
    <w:rsid w:val="00905362"/>
    <w:rsid w:val="00922537"/>
    <w:rsid w:val="00925E9D"/>
    <w:rsid w:val="0093690A"/>
    <w:rsid w:val="00940CFF"/>
    <w:rsid w:val="009570DC"/>
    <w:rsid w:val="00961B17"/>
    <w:rsid w:val="009753A7"/>
    <w:rsid w:val="009B04A5"/>
    <w:rsid w:val="009D05F1"/>
    <w:rsid w:val="009D3062"/>
    <w:rsid w:val="009F0B09"/>
    <w:rsid w:val="00A029ED"/>
    <w:rsid w:val="00A055E6"/>
    <w:rsid w:val="00A065C5"/>
    <w:rsid w:val="00A359FA"/>
    <w:rsid w:val="00A565D1"/>
    <w:rsid w:val="00A731ED"/>
    <w:rsid w:val="00A76E8E"/>
    <w:rsid w:val="00AC1A33"/>
    <w:rsid w:val="00AF502D"/>
    <w:rsid w:val="00B025D2"/>
    <w:rsid w:val="00B07338"/>
    <w:rsid w:val="00B25855"/>
    <w:rsid w:val="00B734E9"/>
    <w:rsid w:val="00B77DC3"/>
    <w:rsid w:val="00B9591C"/>
    <w:rsid w:val="00C0219C"/>
    <w:rsid w:val="00C154AE"/>
    <w:rsid w:val="00C23135"/>
    <w:rsid w:val="00C91951"/>
    <w:rsid w:val="00CA0B68"/>
    <w:rsid w:val="00CB0621"/>
    <w:rsid w:val="00CD6032"/>
    <w:rsid w:val="00CE1F59"/>
    <w:rsid w:val="00D263EC"/>
    <w:rsid w:val="00D34F98"/>
    <w:rsid w:val="00D435F8"/>
    <w:rsid w:val="00D45E3B"/>
    <w:rsid w:val="00D57F4B"/>
    <w:rsid w:val="00D64086"/>
    <w:rsid w:val="00D72E16"/>
    <w:rsid w:val="00D86038"/>
    <w:rsid w:val="00D93B0F"/>
    <w:rsid w:val="00DA739D"/>
    <w:rsid w:val="00DB3FE7"/>
    <w:rsid w:val="00DB7BBD"/>
    <w:rsid w:val="00DE52E2"/>
    <w:rsid w:val="00DF7A88"/>
    <w:rsid w:val="00E00488"/>
    <w:rsid w:val="00E01A31"/>
    <w:rsid w:val="00E14AD2"/>
    <w:rsid w:val="00E23D6B"/>
    <w:rsid w:val="00E32F50"/>
    <w:rsid w:val="00E778A4"/>
    <w:rsid w:val="00E932AF"/>
    <w:rsid w:val="00EA0033"/>
    <w:rsid w:val="00EA5CFF"/>
    <w:rsid w:val="00EB4884"/>
    <w:rsid w:val="00EE2431"/>
    <w:rsid w:val="00F12506"/>
    <w:rsid w:val="00F15276"/>
    <w:rsid w:val="00F31AA1"/>
    <w:rsid w:val="00F420EF"/>
    <w:rsid w:val="00F829C4"/>
    <w:rsid w:val="00F84800"/>
    <w:rsid w:val="00F91714"/>
    <w:rsid w:val="00F93695"/>
    <w:rsid w:val="00F9778E"/>
    <w:rsid w:val="00FA0A2C"/>
    <w:rsid w:val="00FA377D"/>
    <w:rsid w:val="00FD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B442"/>
  <w15:chartTrackingRefBased/>
  <w15:docId w15:val="{3A91710D-CEF4-41A1-9FCC-A6E070FFD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65D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46D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195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55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07/S10552-013-0201-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10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4E45C5B-1D5B-4ADC-B4F8-73263E7D08C9}">
  <we:reference id="f78a3046-9e99-4300-aa2b-5814002b01a2" version="1.46.0.0" store="EXCatalog" storeType="EXCatalog"/>
  <we:alternateReferences>
    <we:reference id="WA104382081" version="1.46.0.0" store="en-GB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7B359-DE6C-44F6-BE9E-4F84E4F4D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848</Words>
  <Characters>4838</Characters>
  <Application>Microsoft Office Word</Application>
  <DocSecurity>0</DocSecurity>
  <Lines>40</Lines>
  <Paragraphs>11</Paragraphs>
  <ScaleCrop>false</ScaleCrop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Newby</dc:creator>
  <cp:keywords/>
  <dc:description/>
  <cp:lastModifiedBy>Danielle Newby</cp:lastModifiedBy>
  <cp:revision>150</cp:revision>
  <dcterms:created xsi:type="dcterms:W3CDTF">2022-07-19T13:49:00Z</dcterms:created>
  <dcterms:modified xsi:type="dcterms:W3CDTF">2022-07-20T12:59:00Z</dcterms:modified>
</cp:coreProperties>
</file>