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D1B3E"/>
          <w:sz w:val="36"/>
          <w:szCs w:val="36"/>
        </w:rPr>
        <w:t xml:space="preserve">Análise de Performance de Vendas de Bicicletas</w:t>
      </w:r>
    </w:p>
    <w:p>
      <w:pPr>
        <w:spacing w:after="240"/>
      </w:pPr>
      <w:r>
        <w:rPr>
          <w:rFonts w:ascii="Arial" w:cs="Arial" w:eastAsia="Arial" w:hAnsi="Arial"/>
          <w:i/>
          <w:iCs/>
          <w:color w:val="555555"/>
          <w:sz w:val="24"/>
          <w:szCs w:val="24"/>
        </w:rPr>
        <w:t xml:space="preserve">Período de 2013 a 2016</w:t>
      </w:r>
    </w:p>
    <w:p>
      <w:pPr>
        <w:pStyle w:val="Heading1"/>
      </w:pPr>
      <w:r>
        <w:t xml:space="preserve">1. O que foi feito</w:t>
      </w:r>
    </w:p>
    <w:p>
      <w:pPr>
        <w:spacing w:after="120"/>
      </w:pPr>
      <w:r>
        <w:rPr>
          <w:rFonts w:ascii="Arial" w:cs="Arial" w:eastAsia="Arial" w:hAnsi="Arial"/>
          <w:sz w:val="22"/>
          <w:szCs w:val="22"/>
        </w:rPr>
        <w:t xml:space="preserve">Este documento explica como foi construído o dashboard de vendas no Power BI e qual o raciocínio por trás de cada etapa. Os dados são de uma empresa que vende bicicletas em vários países, cobrindo os anos de 2013 a 2016. O trabalho passou por três fases: limpeza e organização dos dados, construção do modelo e criação do dashboard com os insights.</w:t>
      </w:r>
    </w:p>
    <w:p>
      <w:pPr>
        <w:pStyle w:val="Heading1"/>
      </w:pPr>
      <w:r>
        <w:t xml:space="preserve">2. De onde vieram os dados</w:t>
      </w:r>
    </w:p>
    <w:p>
      <w:pPr>
        <w:spacing w:after="120"/>
      </w:pPr>
      <w:r>
        <w:rPr>
          <w:rFonts w:ascii="Arial" w:cs="Arial" w:eastAsia="Arial" w:hAnsi="Arial"/>
          <w:sz w:val="22"/>
          <w:szCs w:val="22"/>
        </w:rPr>
        <w:t xml:space="preserve">Foram utilizados quatro arquivos Excel, dois de vendas e dois de fabricação, cada par cobrindo um período diferente: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Arquivo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Período</w:t>
            </w:r>
          </w:p>
        </w:tc>
        <w:tc>
          <w:tcPr>
            <w:tcW w:type="dxa" w:w="4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Conteúdo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2013_2014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2013 a 2014</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715 linhas com transações de vendas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 2015_2016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2015 a 2016</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658 linhas com transações de vendas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 2013_2014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2013 a 2014</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715 linhas com custos de fabricação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 2015_2016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2015 a 2016</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658 linhas com custos de fabricação</w:t>
            </w:r>
          </w:p>
        </w:tc>
      </w:tr>
    </w:tbl>
    <w:p>
      <w:pPr>
        <w:spacing w:after="120"/>
      </w:pPr>
      <w:r>
        <w:rPr>
          <w:rFonts w:ascii="Arial" w:cs="Arial" w:eastAsia="Arial" w:hAnsi="Arial"/>
          <w:sz w:val="22"/>
          <w:szCs w:val="22"/>
        </w:rPr>
        <w:t xml:space="preserve"/>
      </w:r>
    </w:p>
    <w:p>
      <w:pPr>
        <w:pStyle w:val="Heading1"/>
      </w:pPr>
      <w:r>
        <w:t xml:space="preserve">3. Limpeza e organização dos dados (ETL no Power Query)</w:t>
      </w:r>
    </w:p>
    <w:p>
      <w:pPr>
        <w:spacing w:after="120"/>
      </w:pPr>
      <w:r>
        <w:rPr>
          <w:rFonts w:ascii="Arial" w:cs="Arial" w:eastAsia="Arial" w:hAnsi="Arial"/>
          <w:sz w:val="22"/>
          <w:szCs w:val="22"/>
        </w:rPr>
        <w:t xml:space="preserve">Antes de montar qualquer gráfico, foi preciso organizar os dados. Cada etapa abaixo resolve um problema concreto.</w:t>
      </w:r>
    </w:p>
    <w:p>
      <w:pPr>
        <w:pStyle w:val="Heading2"/>
      </w:pPr>
      <w:r>
        <w:t xml:space="preserve">3.1 Separar país e produto</w:t>
      </w:r>
    </w:p>
    <w:p>
      <w:pPr>
        <w:spacing w:after="120"/>
      </w:pPr>
      <w:r>
        <w:rPr>
          <w:rFonts w:ascii="Arial" w:cs="Arial" w:eastAsia="Arial" w:hAnsi="Arial"/>
          <w:sz w:val="22"/>
          <w:szCs w:val="22"/>
        </w:rPr>
        <w:t xml:space="preserve">Nos arquivos de 2013 e 2014, país e produto estavam juntos em uma única coluna, com valores como Germany,Carretera. Essa coluna foi dividida pela vírgula, gerando duas colunas separadas. Sem essa correção, não seria possível filtrar ou comparar dados por país e por produto de forma independente.</w:t>
      </w:r>
    </w:p>
    <w:p>
      <w:pPr>
        <w:pStyle w:val="Heading2"/>
      </w:pPr>
      <w:r>
        <w:t xml:space="preserve">3.2 Corrigir o formato da data</w:t>
      </w:r>
    </w:p>
    <w:p>
      <w:pPr>
        <w:spacing w:after="120"/>
      </w:pPr>
      <w:r>
        <w:rPr>
          <w:rFonts w:ascii="Arial" w:cs="Arial" w:eastAsia="Arial" w:hAnsi="Arial"/>
          <w:sz w:val="22"/>
          <w:szCs w:val="22"/>
        </w:rPr>
        <w:t xml:space="preserve">A coluna de data estava salva como texto. Foi convertida para o tipo Data usando a localidade Português (Brasil). Sem essa conversão, o Power BI não consegue criar filtros por mês, trimestre ou ano, e as funções de cálculo de crescimento não funcionam.</w:t>
      </w:r>
    </w:p>
    <w:p>
      <w:pPr>
        <w:pStyle w:val="Heading2"/>
      </w:pPr>
      <w:r>
        <w:t xml:space="preserve">3.3 Corrigir erros de digitação</w:t>
      </w:r>
    </w:p>
    <w:p>
      <w:pPr>
        <w:spacing w:after="120"/>
      </w:pPr>
      <w:r>
        <w:rPr>
          <w:rFonts w:ascii="Arial" w:cs="Arial" w:eastAsia="Arial" w:hAnsi="Arial"/>
          <w:sz w:val="22"/>
          <w:szCs w:val="22"/>
        </w:rPr>
        <w:t xml:space="preserve">Ao revisar os valores únicos das colunas de texto, foram encontrados erros de digitação que geravam categorias duplicadas nos gráficos. Todos foram padronizados com a função Substituir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Valor errado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Valor correto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Coluna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Chanel Partners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Channel Partners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Enter&amp;rise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Enterrise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Governmemt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Government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Smal 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Small 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Segment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Country</w:t>
            </w:r>
          </w:p>
        </w:tc>
      </w:tr>
    </w:tbl>
    <w:p>
      <w:pPr>
        <w:spacing w:after="120"/>
      </w:pPr>
      <w:r>
        <w:rPr>
          <w:rFonts w:ascii="Arial" w:cs="Arial" w:eastAsia="Arial" w:hAnsi="Arial"/>
          <w:sz w:val="22"/>
          <w:szCs w:val="22"/>
        </w:rPr>
        <w:t xml:space="preserve"/>
      </w:r>
    </w:p>
    <w:p>
      <w:pPr>
        <w:pStyle w:val="Heading2"/>
      </w:pPr>
      <w:r>
        <w:t xml:space="preserve">3.4 Unir as tabelas</w:t>
      </w:r>
    </w:p>
    <w:p>
      <w:pPr>
        <w:spacing w:after="120"/>
      </w:pPr>
      <w:r>
        <w:rPr>
          <w:rFonts w:ascii="Arial" w:cs="Arial" w:eastAsia="Arial" w:hAnsi="Arial"/>
          <w:sz w:val="22"/>
          <w:szCs w:val="22"/>
        </w:rPr>
        <w:t xml:space="preserve">Para ter uma base única cobrindo todo o período, as tabelas foram unidas com a função Acrescentar Consultas (Append). As duas tabelas de vendas viraram uma só, e o mesmo aconteceu com as de fabricação, resultando em duas bases de 1.373 linhas. O objetivo é ter uma fonte única de verdade em vez de dados espalhados por arquivo.</w:t>
      </w:r>
    </w:p>
    <w:p>
      <w:pPr>
        <w:pStyle w:val="Heading1"/>
      </w:pPr>
      <w:r>
        <w:t xml:space="preserve">4. Modelo de dados</w:t>
      </w:r>
    </w:p>
    <w:p>
      <w:pPr>
        <w:pStyle w:val="Heading2"/>
      </w:pPr>
      <w:r>
        <w:t xml:space="preserve">4.1 Tabela Calendário</w:t>
      </w:r>
    </w:p>
    <w:p>
      <w:pPr>
        <w:spacing w:after="120"/>
      </w:pPr>
      <w:r>
        <w:rPr>
          <w:rFonts w:ascii="Arial" w:cs="Arial" w:eastAsia="Arial" w:hAnsi="Arial"/>
          <w:sz w:val="22"/>
          <w:szCs w:val="22"/>
        </w:rPr>
        <w:t xml:space="preserve">Foi criada uma tabela de datas cobrindo de janeiro de 2013 a dezembro de 2016, com as colunas Ano, Mês (número), Mês (nome) e Trimestre. Ela funciona como o ponto central de tempo do dashboard.</w:t>
      </w:r>
    </w:p>
    <w:p>
      <w:pPr>
        <w:pStyle w:val="Heading2"/>
      </w:pPr>
      <w:r>
        <w:t xml:space="preserve">4.2 Relacionamentos (Star Schema)</w:t>
      </w:r>
    </w:p>
    <w:p>
      <w:pPr>
        <w:spacing w:after="120"/>
      </w:pPr>
      <w:r>
        <w:rPr>
          <w:rFonts w:ascii="Arial" w:cs="Arial" w:eastAsia="Arial" w:hAnsi="Arial"/>
          <w:sz w:val="22"/>
          <w:szCs w:val="22"/>
        </w:rPr>
        <w:t xml:space="preserve">O modelo segue o padrão Star Schema, com a tabela Calendário no centro, ligada às tabelas de vendas e de fabricação pela coluna de data, em relacionamentos de um para muitos. Assim, qualquer filtro de período aplicado no dashboard afeta todos os gráficos ao mesmo tempo.</w:t>
      </w:r>
    </w:p>
    <w:p>
      <w:pPr>
        <w:pStyle w:val="Heading1"/>
      </w:pPr>
      <w:r>
        <w:t xml:space="preserve">5. Medidas criadas (DAX)</w:t>
      </w:r>
    </w:p>
    <w:p>
      <w:pPr>
        <w:spacing w:after="120"/>
      </w:pPr>
      <w:r>
        <w:rPr>
          <w:rFonts w:ascii="Arial" w:cs="Arial" w:eastAsia="Arial" w:hAnsi="Arial"/>
          <w:sz w:val="22"/>
          <w:szCs w:val="22"/>
        </w:rPr>
        <w:t xml:space="preserve">As medidas abaixo calculam os principais indicadores e se recalculam conforme o filtro muda: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Medida</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 que calcula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de Vendas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Receita total de vendas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Lucro Total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Lucro total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Unidades Vendidas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Quantidade total de unidades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Margem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Lucro dividido pelas vendas, em percentual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 de Fabricação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Custo dos produtos vendidos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Crescimento Ano a Ano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Variação das vendas frente ao mesmo período do ano anterior</w:t>
            </w:r>
          </w:p>
        </w:tc>
      </w:tr>
    </w:tbl>
    <w:p>
      <w:pPr>
        <w:spacing w:after="120"/>
      </w:pPr>
      <w:r>
        <w:rPr>
          <w:rFonts w:ascii="Arial" w:cs="Arial" w:eastAsia="Arial" w:hAnsi="Arial"/>
          <w:sz w:val="22"/>
          <w:szCs w:val="22"/>
        </w:rPr>
        <w:t xml:space="preserve"/>
      </w:r>
    </w:p>
    <w:p>
      <w:pPr>
        <w:pStyle w:val="Heading1"/>
      </w:pPr>
      <w:r>
        <w:t xml:space="preserve">6. O dashboard</w:t>
      </w:r>
    </w:p>
    <w:p>
      <w:pPr>
        <w:spacing w:after="120"/>
      </w:pPr>
      <w:r>
        <w:rPr>
          <w:rFonts w:ascii="Arial" w:cs="Arial" w:eastAsia="Arial" w:hAnsi="Arial"/>
          <w:sz w:val="22"/>
          <w:szCs w:val="22"/>
        </w:rPr>
        <w:t xml:space="preserve">O dashboard foi organizado em três páginas, cada uma com um propósito diferente.</w:t>
      </w:r>
    </w:p>
    <w:p>
      <w:pPr>
        <w:pStyle w:val="Heading2"/>
      </w:pPr>
      <w:r>
        <w:t xml:space="preserve">Página 1: KPIs</w:t>
      </w:r>
    </w:p>
    <w:p>
      <w:pPr>
        <w:spacing w:after="120"/>
      </w:pPr>
      <w:r>
        <w:rPr>
          <w:rFonts w:ascii="Arial" w:cs="Arial" w:eastAsia="Arial" w:hAnsi="Arial"/>
          <w:sz w:val="22"/>
          <w:szCs w:val="22"/>
        </w:rPr>
        <w:t xml:space="preserve">Pensada para reuniões mensais com a liderança. Mostra os números mais importantes de forma rápida, com filtro por ano e mês: Total de Vendas de R$ 237,96 milhões, Lucro Total de R$ 35,16 milhões e Margem de Lucro de aproximadamente 15% no período completo.</w:t>
      </w:r>
    </w:p>
    <w:p>
      <w:pPr>
        <w:pStyle w:val="Heading2"/>
      </w:pPr>
      <w:r>
        <w:t xml:space="preserve">Página 2: Gráficos</w:t>
      </w:r>
    </w:p>
    <w:p>
      <w:pPr>
        <w:spacing w:after="120"/>
      </w:pPr>
      <w:r>
        <w:rPr>
          <w:rFonts w:ascii="Arial" w:cs="Arial" w:eastAsia="Arial" w:hAnsi="Arial"/>
          <w:sz w:val="22"/>
          <w:szCs w:val="22"/>
        </w:rPr>
        <w:t xml:space="preserve">Pensada para o acompanhamento semanal do time de vendas. Contém cinco gráficos e um filtro hierárquico de período: evolução de vendas por ano, vendas por país, vendas por segmento, lucro por segmento e vendas por produto. O time consegue comparar países, segmentos e produtos e identificar onde estão os melhores resultados.</w:t>
      </w:r>
    </w:p>
    <w:p>
      <w:pPr>
        <w:pStyle w:val="Heading2"/>
      </w:pPr>
      <w:r>
        <w:t xml:space="preserve">Página 3: Conclusões</w:t>
      </w:r>
    </w:p>
    <w:p>
      <w:pPr>
        <w:spacing w:after="120"/>
      </w:pPr>
      <w:r>
        <w:rPr>
          <w:rFonts w:ascii="Arial" w:cs="Arial" w:eastAsia="Arial" w:hAnsi="Arial"/>
          <w:sz w:val="22"/>
          <w:szCs w:val="22"/>
        </w:rPr>
        <w:t xml:space="preserve">Página de texto com os principais achados e as recomendações. É onde os dados viram decisão: onde investir, onde agir com cautela e o que esperar adiante.</w:t>
      </w:r>
    </w:p>
    <w:p>
      <w:pPr>
        <w:pStyle w:val="Heading1"/>
      </w:pPr>
      <w:r>
        <w:t xml:space="preserve">7. Principais achados</w:t>
      </w:r>
    </w:p>
    <w:p>
      <w:pPr>
        <w:pStyle w:val="Heading2"/>
      </w:pPr>
      <w:r>
        <w:t xml:space="preserve">Vendas ao longo do tempo</w:t>
      </w:r>
    </w:p>
    <w:p>
      <w:pPr>
        <w:pStyle w:val="ListParagraph"/>
        <w:numPr>
          <w:ilvl w:val="0"/>
          <w:numId w:val="2"/>
        </w:numPr>
        <w:spacing w:after="60"/>
      </w:pPr>
      <w:r>
        <w:rPr>
          <w:rFonts w:ascii="Arial" w:cs="Arial" w:eastAsia="Arial" w:hAnsi="Arial"/>
          <w:sz w:val="22"/>
          <w:szCs w:val="22"/>
        </w:rPr>
        <w:t xml:space="preserve">De 2014 para 2015 as vendas caíram 42,6%, de R$ 97,6 milhões para R$ 56,0 milhões.</w:t>
      </w:r>
    </w:p>
    <w:p>
      <w:pPr>
        <w:pStyle w:val="ListParagraph"/>
        <w:numPr>
          <w:ilvl w:val="0"/>
          <w:numId w:val="2"/>
        </w:numPr>
        <w:spacing w:after="60"/>
      </w:pPr>
      <w:r>
        <w:rPr>
          <w:rFonts w:ascii="Arial" w:cs="Arial" w:eastAsia="Arial" w:hAnsi="Arial"/>
          <w:sz w:val="22"/>
          <w:szCs w:val="22"/>
        </w:rPr>
        <w:t xml:space="preserve">Em 2016 o patamar ficou praticamente estável frente a 2015 (variação de mais 0,1%), ou seja, não houve recuperação, e sim estagnação no nível mais baixo.</w:t>
      </w:r>
    </w:p>
    <w:p>
      <w:pPr>
        <w:pStyle w:val="ListParagraph"/>
        <w:numPr>
          <w:ilvl w:val="0"/>
          <w:numId w:val="2"/>
        </w:numPr>
        <w:spacing w:after="60"/>
      </w:pPr>
      <w:r>
        <w:rPr>
          <w:rFonts w:ascii="Arial" w:cs="Arial" w:eastAsia="Arial" w:hAnsi="Arial"/>
          <w:sz w:val="22"/>
          <w:szCs w:val="22"/>
        </w:rPr>
        <w:t xml:space="preserve">O ano de 2013 tem apenas 4 meses de dados (de setembro a dezembro), por isso não deve ser comparado de igual para igual com os anos completos.</w:t>
      </w:r>
    </w:p>
    <w:p>
      <w:pPr>
        <w:pStyle w:val="Heading2"/>
      </w:pPr>
      <w:r>
        <w:t xml:space="preserve">Por segmento</w:t>
      </w:r>
    </w:p>
    <w:p>
      <w:pPr>
        <w:pStyle w:val="ListParagraph"/>
        <w:numPr>
          <w:ilvl w:val="0"/>
          <w:numId w:val="2"/>
        </w:numPr>
        <w:spacing w:after="60"/>
      </w:pPr>
      <w:r>
        <w:rPr>
          <w:rFonts w:ascii="Arial" w:cs="Arial" w:eastAsia="Arial" w:hAnsi="Arial"/>
          <w:sz w:val="22"/>
          <w:szCs w:val="22"/>
        </w:rPr>
        <w:t xml:space="preserve">Government sustenta o negócio: responde por 70% de todo o lucro com 44% das unidades e margem saudável de 22%.</w:t>
      </w:r>
    </w:p>
    <w:p>
      <w:pPr>
        <w:pStyle w:val="ListParagraph"/>
        <w:numPr>
          <w:ilvl w:val="0"/>
          <w:numId w:val="2"/>
        </w:numPr>
        <w:spacing w:after="60"/>
      </w:pPr>
      <w:r>
        <w:rPr>
          <w:rFonts w:ascii="Arial" w:cs="Arial" w:eastAsia="Arial" w:hAnsi="Arial"/>
          <w:sz w:val="22"/>
          <w:szCs w:val="22"/>
        </w:rPr>
        <w:t xml:space="preserve">Enterprise é o terceiro maior em vendas (R$ 38,0 milhões), mas opera com margem negativa de 3%, gerando prejuízo de R$ 1,13 milhão. Vende bastante e ainda assim perde dinheiro.</w:t>
      </w:r>
    </w:p>
    <w:p>
      <w:pPr>
        <w:pStyle w:val="ListParagraph"/>
        <w:numPr>
          <w:ilvl w:val="0"/>
          <w:numId w:val="2"/>
        </w:numPr>
        <w:spacing w:after="60"/>
      </w:pPr>
      <w:r>
        <w:rPr>
          <w:rFonts w:ascii="Arial" w:cs="Arial" w:eastAsia="Arial" w:hAnsi="Arial"/>
          <w:sz w:val="22"/>
          <w:szCs w:val="22"/>
        </w:rPr>
        <w:t xml:space="preserve">Channel Partners vende pouco (R$ 3,4 milhões), mas é o segmento mais eficiente de todos, com 73% de margem. Cada venda ali é altamente lucrativa.</w:t>
      </w:r>
    </w:p>
    <w:p>
      <w:pPr>
        <w:pStyle w:val="Heading2"/>
      </w:pPr>
      <w:r>
        <w:t xml:space="preserve">Por país e por produto</w:t>
      </w:r>
    </w:p>
    <w:p>
      <w:pPr>
        <w:pStyle w:val="ListParagraph"/>
        <w:numPr>
          <w:ilvl w:val="0"/>
          <w:numId w:val="2"/>
        </w:numPr>
        <w:spacing w:after="60"/>
      </w:pPr>
      <w:r>
        <w:rPr>
          <w:rFonts w:ascii="Arial" w:cs="Arial" w:eastAsia="Arial" w:hAnsi="Arial"/>
          <w:sz w:val="22"/>
          <w:szCs w:val="22"/>
        </w:rPr>
        <w:t xml:space="preserve">Entre os países a disputa é equilibrada: Alemanha lidera (R$ 51,6 milhões), seguida de perto por Canadá, Estados Unidos e França, com o México na lanterna (R$ 39,4 milhões).</w:t>
      </w:r>
    </w:p>
    <w:p>
      <w:pPr>
        <w:pStyle w:val="ListParagraph"/>
        <w:numPr>
          <w:ilvl w:val="0"/>
          <w:numId w:val="2"/>
        </w:numPr>
        <w:spacing w:after="60"/>
      </w:pPr>
      <w:r>
        <w:rPr>
          <w:rFonts w:ascii="Arial" w:cs="Arial" w:eastAsia="Arial" w:hAnsi="Arial"/>
          <w:sz w:val="22"/>
          <w:szCs w:val="22"/>
        </w:rPr>
        <w:t xml:space="preserve">Paseo é o produto mais vendido com folga (R$ 63,9 milhões) e Carretera é o menos vendido (R$ 29,2 milhões).</w:t>
      </w:r>
    </w:p>
    <w:p>
      <w:pPr>
        <w:pStyle w:val="Heading1"/>
      </w:pPr>
      <w:r>
        <w:t xml:space="preserve">8. Recomendações</w:t>
      </w:r>
    </w:p>
    <w:p>
      <w:pPr>
        <w:pStyle w:val="ListParagraph"/>
        <w:numPr>
          <w:ilvl w:val="0"/>
          <w:numId w:val="2"/>
        </w:numPr>
        <w:spacing w:after="60"/>
      </w:pPr>
      <w:r>
        <w:rPr>
          <w:rFonts w:ascii="Arial" w:cs="Arial" w:eastAsia="Arial" w:hAnsi="Arial"/>
          <w:sz w:val="22"/>
          <w:szCs w:val="22"/>
        </w:rPr>
        <w:t xml:space="preserve">Investigar com prioridade a margem negativa do segmento Enterprise. Como ele vende muito e ainda perde dinheiro, o problema provavelmente está em precificação ou em custo, não em volume.</w:t>
      </w:r>
    </w:p>
    <w:p>
      <w:pPr>
        <w:pStyle w:val="ListParagraph"/>
        <w:numPr>
          <w:ilvl w:val="0"/>
          <w:numId w:val="2"/>
        </w:numPr>
        <w:spacing w:after="60"/>
      </w:pPr>
      <w:r>
        <w:rPr>
          <w:rFonts w:ascii="Arial" w:cs="Arial" w:eastAsia="Arial" w:hAnsi="Arial"/>
          <w:sz w:val="22"/>
          <w:szCs w:val="22"/>
        </w:rPr>
        <w:t xml:space="preserve">Manter o segmento Government como prioridade comercial, já que sustenta a maior parte do lucro com margem saudável.</w:t>
      </w:r>
    </w:p>
    <w:p>
      <w:pPr>
        <w:pStyle w:val="ListParagraph"/>
        <w:numPr>
          <w:ilvl w:val="0"/>
          <w:numId w:val="2"/>
        </w:numPr>
        <w:spacing w:after="60"/>
      </w:pPr>
      <w:r>
        <w:rPr>
          <w:rFonts w:ascii="Arial" w:cs="Arial" w:eastAsia="Arial" w:hAnsi="Arial"/>
          <w:sz w:val="22"/>
          <w:szCs w:val="22"/>
        </w:rPr>
        <w:t xml:space="preserve">Estudar formas de crescer o volume de Channel Partners, que é pouco explorado mas extremamente rentável por venda.</w:t>
      </w:r>
    </w:p>
    <w:p>
      <w:pPr>
        <w:pStyle w:val="ListParagraph"/>
        <w:numPr>
          <w:ilvl w:val="0"/>
          <w:numId w:val="2"/>
        </w:numPr>
        <w:spacing w:after="60"/>
      </w:pPr>
      <w:r>
        <w:rPr>
          <w:rFonts w:ascii="Arial" w:cs="Arial" w:eastAsia="Arial" w:hAnsi="Arial"/>
          <w:sz w:val="22"/>
          <w:szCs w:val="22"/>
        </w:rPr>
        <w:t xml:space="preserve">Entender a fundo a queda de 42,6% em 2015 e por que 2016 não recuperou, olhando preço, concorrência e mudanças de mercado no período.</w:t>
      </w:r>
    </w:p>
    <w:p>
      <w:pPr>
        <w:pStyle w:val="ListParagraph"/>
        <w:numPr>
          <w:ilvl w:val="0"/>
          <w:numId w:val="2"/>
        </w:numPr>
        <w:spacing w:after="60"/>
      </w:pPr>
      <w:r>
        <w:rPr>
          <w:rFonts w:ascii="Arial" w:cs="Arial" w:eastAsia="Arial" w:hAnsi="Arial"/>
          <w:sz w:val="22"/>
          <w:szCs w:val="22"/>
        </w:rPr>
        <w:t xml:space="preserve">Garantir disponibilidade e visibilidade do Paseo, o carro-chefe, e avaliar o futuro do Carretera no portfólio.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D1B3E"/>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2026-06-08T20:34:52.791Z</dcterms:created>
  <dcterms:modified xsi:type="dcterms:W3CDTF">2026-06-08T20:34:52.792Z</dcterms:modified>
</cp:coreProperties>
</file>

<file path=docProps/custom.xml><?xml version="1.0" encoding="utf-8"?>
<Properties xmlns="http://schemas.openxmlformats.org/officeDocument/2006/custom-properties" xmlns:vt="http://schemas.openxmlformats.org/officeDocument/2006/docPropsVTypes"/>
</file>