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פלאגין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NETLYTICS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היוצר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 w14:paraId="000000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DOMAINS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ומתבססת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TSTAT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SQUID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-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DOMAINS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אגרגציה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SUBDOMAINS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SUBDOMAIN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נותנת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SUBDOMAIN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בהתבססות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ממיינת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שניתן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מחליטה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הקריאות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SUBDOMAIN</w:t>
      </w:r>
      <w:r w:rsidDel="00000000" w:rsidR="00000000" w:rsidRPr="00000000">
        <w:rPr>
          <w:rtl w:val="1"/>
        </w:rPr>
        <w:t xml:space="preserve">שמופיעים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1"/>
        </w:rPr>
        <w:t xml:space="preserve">" -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סאבדומיינים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חסרות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הבראוזר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bidi w:val="1"/>
        <w:ind w:left="216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הבראוזר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מתמיד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persistent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הרצויים</w:t>
      </w:r>
    </w:p>
    <w:p w:rsidR="00000000" w:rsidDel="00000000" w:rsidP="00000000" w:rsidRDefault="00000000" w:rsidRPr="00000000" w14:paraId="00000012">
      <w:pPr>
        <w:bidi w:val="1"/>
        <w:ind w:left="1440" w:firstLine="0"/>
        <w:jc w:val="left"/>
        <w:rPr/>
      </w:pP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הסאמפל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וולידי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0"/>
        </w:rPr>
        <w:t xml:space="preserve">sample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valid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rtl w:val="1"/>
        </w:rPr>
        <w:t xml:space="preserve">האינטואיציה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שהבצועים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הבראוזר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