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4ACE" w:rsidRDefault="00B34ACE" w:rsidP="00B34ACE">
      <w:pPr>
        <w:jc w:val="both"/>
      </w:pPr>
      <w:r>
        <w:t>INFORME DE LABORATORIO:</w:t>
      </w:r>
    </w:p>
    <w:p w:rsidR="00B34ACE" w:rsidRDefault="00B34ACE" w:rsidP="00B34ACE">
      <w:pPr>
        <w:jc w:val="both"/>
      </w:pPr>
    </w:p>
    <w:p w:rsidR="00B34ACE" w:rsidRDefault="00B34ACE" w:rsidP="00B34ACE">
      <w:pPr>
        <w:jc w:val="both"/>
      </w:pPr>
      <w:r>
        <w:t>INTEGRANTES:</w:t>
      </w:r>
      <w:r w:rsidR="001C177D">
        <w:t xml:space="preserve"> Fernanda Sánchez Gómez</w:t>
      </w:r>
    </w:p>
    <w:p w:rsidR="00B34ACE" w:rsidRDefault="00B34ACE" w:rsidP="00B34ACE">
      <w:pPr>
        <w:jc w:val="both"/>
      </w:pPr>
      <w:r>
        <w:t xml:space="preserve">                             </w:t>
      </w:r>
      <w:r w:rsidR="001C177D">
        <w:t>Sebastián Grisales</w:t>
      </w:r>
      <w:r w:rsidR="00CE1BAF">
        <w:t xml:space="preserve"> Hurtado</w:t>
      </w:r>
    </w:p>
    <w:p w:rsidR="00B34ACE" w:rsidRDefault="00B34ACE" w:rsidP="00B34ACE">
      <w:pPr>
        <w:jc w:val="both"/>
      </w:pPr>
    </w:p>
    <w:p w:rsidR="001C177D" w:rsidRDefault="00B34ACE" w:rsidP="00B34ACE">
      <w:pPr>
        <w:jc w:val="both"/>
      </w:pPr>
      <w:r>
        <w:t>FECHA</w:t>
      </w:r>
      <w:r w:rsidR="001C177D">
        <w:t>: 25/03/2020</w:t>
      </w:r>
    </w:p>
    <w:p w:rsidR="00B34ACE" w:rsidRDefault="00B34ACE" w:rsidP="00B34ACE">
      <w:pPr>
        <w:jc w:val="both"/>
      </w:pPr>
      <w:r>
        <w:t xml:space="preserve">NOTA………………………………………   </w:t>
      </w:r>
    </w:p>
    <w:p w:rsidR="00B34ACE" w:rsidRDefault="00B34ACE" w:rsidP="00B34ACE">
      <w:pPr>
        <w:jc w:val="both"/>
      </w:pPr>
      <w:r>
        <w:t xml:space="preserve">                                                       </w:t>
      </w:r>
    </w:p>
    <w:p w:rsidR="00B34ACE" w:rsidRDefault="00B34ACE" w:rsidP="00B34ACE">
      <w:pPr>
        <w:jc w:val="both"/>
      </w:pPr>
      <w:r>
        <w:t>DATOS</w:t>
      </w:r>
    </w:p>
    <w:p w:rsidR="00B34ACE" w:rsidRDefault="00B34ACE" w:rsidP="00B34ACE">
      <w:pPr>
        <w:jc w:val="both"/>
      </w:pPr>
    </w:p>
    <w:p w:rsidR="00B34ACE" w:rsidRDefault="00B34ACE" w:rsidP="00B34ACE">
      <w:pPr>
        <w:jc w:val="both"/>
      </w:pPr>
      <w:r>
        <w:t xml:space="preserve">1. Dibujar las </w:t>
      </w:r>
      <w:r>
        <w:rPr>
          <w:b/>
          <w:bCs/>
        </w:rPr>
        <w:t xml:space="preserve">líneas equipotenciales, </w:t>
      </w:r>
      <w:r>
        <w:t>incluyendo los respectivos valores de voltaje, para las siguientes configuraciones:</w:t>
      </w:r>
    </w:p>
    <w:p w:rsidR="00B34ACE" w:rsidRDefault="00B34ACE" w:rsidP="00B34ACE">
      <w:pPr>
        <w:numPr>
          <w:ilvl w:val="0"/>
          <w:numId w:val="1"/>
        </w:numPr>
        <w:jc w:val="both"/>
      </w:pPr>
      <w:r>
        <w:t>Dos líneas paralelas conformadas con carga de distinto signo.</w:t>
      </w:r>
    </w:p>
    <w:p w:rsidR="001C177D" w:rsidRDefault="001C177D" w:rsidP="001C177D">
      <w:pPr>
        <w:ind w:left="720"/>
        <w:jc w:val="both"/>
      </w:pPr>
      <w:r>
        <w:rPr>
          <w:noProof/>
        </w:rPr>
        <w:drawing>
          <wp:inline distT="0" distB="0" distL="0" distR="0">
            <wp:extent cx="6332220" cy="30454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1.PNG"/>
                    <pic:cNvPicPr/>
                  </pic:nvPicPr>
                  <pic:blipFill>
                    <a:blip r:embed="rId5">
                      <a:extLst>
                        <a:ext uri="{28A0092B-C50C-407E-A947-70E740481C1C}">
                          <a14:useLocalDpi xmlns:a14="http://schemas.microsoft.com/office/drawing/2010/main" val="0"/>
                        </a:ext>
                      </a:extLst>
                    </a:blip>
                    <a:stretch>
                      <a:fillRect/>
                    </a:stretch>
                  </pic:blipFill>
                  <pic:spPr>
                    <a:xfrm>
                      <a:off x="0" y="0"/>
                      <a:ext cx="6332220" cy="3045460"/>
                    </a:xfrm>
                    <a:prstGeom prst="rect">
                      <a:avLst/>
                    </a:prstGeom>
                  </pic:spPr>
                </pic:pic>
              </a:graphicData>
            </a:graphic>
          </wp:inline>
        </w:drawing>
      </w:r>
    </w:p>
    <w:p w:rsidR="001C177D" w:rsidRDefault="001C177D" w:rsidP="001C177D">
      <w:pPr>
        <w:ind w:left="720"/>
        <w:jc w:val="both"/>
      </w:pPr>
    </w:p>
    <w:p w:rsidR="001C177D" w:rsidRDefault="001C177D" w:rsidP="001C177D">
      <w:pPr>
        <w:ind w:left="720"/>
        <w:jc w:val="both"/>
      </w:pPr>
    </w:p>
    <w:p w:rsidR="00922A27" w:rsidRDefault="00922A27" w:rsidP="001C177D">
      <w:pPr>
        <w:ind w:left="720"/>
        <w:jc w:val="both"/>
      </w:pPr>
    </w:p>
    <w:p w:rsidR="00922A27" w:rsidRDefault="00922A27" w:rsidP="001C177D">
      <w:pPr>
        <w:ind w:left="720"/>
        <w:jc w:val="both"/>
      </w:pPr>
    </w:p>
    <w:p w:rsidR="00922A27" w:rsidRDefault="00922A27" w:rsidP="001C177D">
      <w:pPr>
        <w:ind w:left="720"/>
        <w:jc w:val="both"/>
      </w:pPr>
    </w:p>
    <w:p w:rsidR="00922A27" w:rsidRDefault="00922A27" w:rsidP="001C177D">
      <w:pPr>
        <w:ind w:left="720"/>
        <w:jc w:val="both"/>
      </w:pPr>
    </w:p>
    <w:p w:rsidR="00922A27" w:rsidRDefault="00922A27" w:rsidP="001C177D">
      <w:pPr>
        <w:ind w:left="720"/>
        <w:jc w:val="both"/>
      </w:pPr>
    </w:p>
    <w:p w:rsidR="00922A27" w:rsidRDefault="00922A27" w:rsidP="001C177D">
      <w:pPr>
        <w:ind w:left="720"/>
        <w:jc w:val="both"/>
      </w:pPr>
    </w:p>
    <w:p w:rsidR="00922A27" w:rsidRDefault="00922A27" w:rsidP="001C177D">
      <w:pPr>
        <w:ind w:left="720"/>
        <w:jc w:val="both"/>
      </w:pPr>
    </w:p>
    <w:p w:rsidR="00922A27" w:rsidRDefault="00922A27" w:rsidP="001C177D">
      <w:pPr>
        <w:ind w:left="720"/>
        <w:jc w:val="both"/>
      </w:pPr>
    </w:p>
    <w:p w:rsidR="00922A27" w:rsidRDefault="00922A27" w:rsidP="001C177D">
      <w:pPr>
        <w:ind w:left="720"/>
        <w:jc w:val="both"/>
      </w:pPr>
    </w:p>
    <w:p w:rsidR="00922A27" w:rsidRDefault="00922A27" w:rsidP="001C177D">
      <w:pPr>
        <w:ind w:left="720"/>
        <w:jc w:val="both"/>
      </w:pPr>
    </w:p>
    <w:p w:rsidR="00922A27" w:rsidRDefault="00922A27" w:rsidP="001C177D">
      <w:pPr>
        <w:ind w:left="720"/>
        <w:jc w:val="both"/>
      </w:pPr>
    </w:p>
    <w:p w:rsidR="00922A27" w:rsidRDefault="00922A27" w:rsidP="001C177D">
      <w:pPr>
        <w:ind w:left="720"/>
        <w:jc w:val="both"/>
      </w:pPr>
    </w:p>
    <w:p w:rsidR="00922A27" w:rsidRDefault="00922A27" w:rsidP="001C177D">
      <w:pPr>
        <w:ind w:left="720"/>
        <w:jc w:val="both"/>
      </w:pPr>
    </w:p>
    <w:p w:rsidR="00922A27" w:rsidRDefault="00922A27" w:rsidP="001C177D">
      <w:pPr>
        <w:ind w:left="720"/>
        <w:jc w:val="both"/>
      </w:pPr>
    </w:p>
    <w:p w:rsidR="001C177D" w:rsidRDefault="001C177D" w:rsidP="001C177D">
      <w:pPr>
        <w:ind w:left="720"/>
        <w:jc w:val="both"/>
      </w:pPr>
    </w:p>
    <w:p w:rsidR="00B34ACE" w:rsidRDefault="00B34ACE" w:rsidP="00B34ACE">
      <w:pPr>
        <w:numPr>
          <w:ilvl w:val="0"/>
          <w:numId w:val="1"/>
        </w:numPr>
        <w:jc w:val="both"/>
      </w:pPr>
      <w:r>
        <w:lastRenderedPageBreak/>
        <w:t xml:space="preserve">Un </w:t>
      </w:r>
      <w:proofErr w:type="spellStart"/>
      <w:r>
        <w:t>semi-circulo</w:t>
      </w:r>
      <w:proofErr w:type="spellEnd"/>
      <w:r>
        <w:t xml:space="preserve"> y una línea conformados con cargas de distinto signo (como el mostrado en la figura del PROCEDIMIENTO).</w:t>
      </w:r>
    </w:p>
    <w:p w:rsidR="002E0446" w:rsidRDefault="002E0446" w:rsidP="002E0446">
      <w:pPr>
        <w:ind w:left="720"/>
        <w:jc w:val="both"/>
      </w:pPr>
      <w:r>
        <w:rPr>
          <w:noProof/>
        </w:rPr>
        <w:drawing>
          <wp:inline distT="0" distB="0" distL="0" distR="0">
            <wp:extent cx="6332220" cy="355981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3.png"/>
                    <pic:cNvPicPr/>
                  </pic:nvPicPr>
                  <pic:blipFill>
                    <a:blip r:embed="rId6">
                      <a:extLst>
                        <a:ext uri="{28A0092B-C50C-407E-A947-70E740481C1C}">
                          <a14:useLocalDpi xmlns:a14="http://schemas.microsoft.com/office/drawing/2010/main" val="0"/>
                        </a:ext>
                      </a:extLst>
                    </a:blip>
                    <a:stretch>
                      <a:fillRect/>
                    </a:stretch>
                  </pic:blipFill>
                  <pic:spPr>
                    <a:xfrm>
                      <a:off x="0" y="0"/>
                      <a:ext cx="6332220" cy="3559810"/>
                    </a:xfrm>
                    <a:prstGeom prst="rect">
                      <a:avLst/>
                    </a:prstGeom>
                  </pic:spPr>
                </pic:pic>
              </a:graphicData>
            </a:graphic>
          </wp:inline>
        </w:drawing>
      </w:r>
    </w:p>
    <w:p w:rsidR="002E0446" w:rsidRDefault="002E0446" w:rsidP="001C177D">
      <w:pPr>
        <w:jc w:val="both"/>
      </w:pPr>
    </w:p>
    <w:p w:rsidR="001C177D" w:rsidRDefault="001C177D" w:rsidP="001C177D">
      <w:pPr>
        <w:jc w:val="both"/>
      </w:pPr>
    </w:p>
    <w:p w:rsidR="001C177D" w:rsidRDefault="001C177D" w:rsidP="001C177D">
      <w:pPr>
        <w:jc w:val="both"/>
      </w:pPr>
    </w:p>
    <w:p w:rsidR="00B34ACE" w:rsidRDefault="00B34ACE" w:rsidP="00B34ACE">
      <w:pPr>
        <w:numPr>
          <w:ilvl w:val="0"/>
          <w:numId w:val="1"/>
        </w:numPr>
        <w:jc w:val="both"/>
      </w:pPr>
      <w:r>
        <w:t xml:space="preserve">Diseñe una configuración diferente a las dos anteriores. Puede ser dos </w:t>
      </w:r>
      <w:proofErr w:type="spellStart"/>
      <w:r>
        <w:t>semi-circulos</w:t>
      </w:r>
      <w:proofErr w:type="spellEnd"/>
      <w:r>
        <w:t xml:space="preserve"> de carga opuesta, un circulo y una línea de carga opuesta, u otra configuración que usted imagine.</w:t>
      </w:r>
    </w:p>
    <w:p w:rsidR="002E0446" w:rsidRDefault="002E0446" w:rsidP="002E0446">
      <w:pPr>
        <w:ind w:left="720"/>
        <w:jc w:val="both"/>
      </w:pPr>
      <w:r>
        <w:rPr>
          <w:noProof/>
        </w:rPr>
        <w:drawing>
          <wp:inline distT="0" distB="0" distL="0" distR="0">
            <wp:extent cx="6332220" cy="28028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5.PNG"/>
                    <pic:cNvPicPr/>
                  </pic:nvPicPr>
                  <pic:blipFill>
                    <a:blip r:embed="rId7">
                      <a:extLst>
                        <a:ext uri="{28A0092B-C50C-407E-A947-70E740481C1C}">
                          <a14:useLocalDpi xmlns:a14="http://schemas.microsoft.com/office/drawing/2010/main" val="0"/>
                        </a:ext>
                      </a:extLst>
                    </a:blip>
                    <a:stretch>
                      <a:fillRect/>
                    </a:stretch>
                  </pic:blipFill>
                  <pic:spPr>
                    <a:xfrm>
                      <a:off x="0" y="0"/>
                      <a:ext cx="6332220" cy="2802890"/>
                    </a:xfrm>
                    <a:prstGeom prst="rect">
                      <a:avLst/>
                    </a:prstGeom>
                  </pic:spPr>
                </pic:pic>
              </a:graphicData>
            </a:graphic>
          </wp:inline>
        </w:drawing>
      </w:r>
    </w:p>
    <w:p w:rsidR="00B34ACE" w:rsidRDefault="00B34ACE" w:rsidP="00B34ACE">
      <w:pPr>
        <w:jc w:val="both"/>
      </w:pPr>
    </w:p>
    <w:p w:rsidR="00290F30" w:rsidRDefault="00290F30" w:rsidP="00B34ACE">
      <w:pPr>
        <w:jc w:val="both"/>
      </w:pPr>
    </w:p>
    <w:p w:rsidR="00290F30" w:rsidRDefault="00290F30" w:rsidP="00B34ACE">
      <w:pPr>
        <w:jc w:val="both"/>
      </w:pPr>
    </w:p>
    <w:p w:rsidR="00290F30" w:rsidRDefault="00290F30" w:rsidP="00B34ACE">
      <w:pPr>
        <w:jc w:val="both"/>
      </w:pPr>
    </w:p>
    <w:p w:rsidR="00290F30" w:rsidRDefault="00290F30" w:rsidP="00B34ACE">
      <w:pPr>
        <w:jc w:val="both"/>
      </w:pPr>
    </w:p>
    <w:p w:rsidR="00B34ACE" w:rsidRDefault="00B34ACE" w:rsidP="00B34ACE">
      <w:pPr>
        <w:jc w:val="both"/>
      </w:pPr>
      <w:r>
        <w:lastRenderedPageBreak/>
        <w:t xml:space="preserve">Estos dibujos deben ser incluidos en el informe en forma de “imagen de captura de pantalla” (print </w:t>
      </w:r>
      <w:proofErr w:type="spellStart"/>
      <w:r>
        <w:t>screen</w:t>
      </w:r>
      <w:proofErr w:type="spellEnd"/>
      <w:r>
        <w:t>).</w:t>
      </w:r>
    </w:p>
    <w:p w:rsidR="00B34ACE" w:rsidRDefault="00B34ACE" w:rsidP="00B34ACE">
      <w:pPr>
        <w:jc w:val="both"/>
      </w:pPr>
    </w:p>
    <w:p w:rsidR="00B34ACE" w:rsidRDefault="00B34ACE" w:rsidP="00B34ACE">
      <w:pPr>
        <w:jc w:val="both"/>
      </w:pPr>
      <w:r>
        <w:t xml:space="preserve">2. Graficar las </w:t>
      </w:r>
      <w:r>
        <w:rPr>
          <w:b/>
          <w:bCs/>
        </w:rPr>
        <w:t>líneas de campo eléctrico</w:t>
      </w:r>
      <w:r>
        <w:t xml:space="preserve"> a partir de las líneas equipotenciales obtenidas en la primera parte de la sección “DATOS”. Estas gráficas deben ser incluidas en el informe en forma de “imagen de captura de pantalla” (print </w:t>
      </w:r>
      <w:proofErr w:type="spellStart"/>
      <w:r>
        <w:t>screen</w:t>
      </w:r>
      <w:proofErr w:type="spellEnd"/>
      <w:r>
        <w:t>).</w:t>
      </w:r>
    </w:p>
    <w:p w:rsidR="002E0446" w:rsidRDefault="002E0446" w:rsidP="00B34ACE">
      <w:pPr>
        <w:jc w:val="both"/>
      </w:pPr>
    </w:p>
    <w:p w:rsidR="001C177D" w:rsidRDefault="001C177D" w:rsidP="00B34ACE">
      <w:pPr>
        <w:jc w:val="both"/>
      </w:pPr>
    </w:p>
    <w:p w:rsidR="001C177D" w:rsidRDefault="001C177D" w:rsidP="00B34ACE">
      <w:pPr>
        <w:jc w:val="both"/>
      </w:pPr>
      <w:r>
        <w:t>Imagen 1</w:t>
      </w:r>
    </w:p>
    <w:p w:rsidR="001C177D" w:rsidRDefault="001C177D" w:rsidP="00B34ACE">
      <w:pPr>
        <w:jc w:val="both"/>
      </w:pPr>
      <w:r>
        <w:rPr>
          <w:noProof/>
        </w:rPr>
        <w:drawing>
          <wp:inline distT="0" distB="0" distL="0" distR="0">
            <wp:extent cx="6332220" cy="27908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2.PNG"/>
                    <pic:cNvPicPr/>
                  </pic:nvPicPr>
                  <pic:blipFill>
                    <a:blip r:embed="rId8">
                      <a:extLst>
                        <a:ext uri="{28A0092B-C50C-407E-A947-70E740481C1C}">
                          <a14:useLocalDpi xmlns:a14="http://schemas.microsoft.com/office/drawing/2010/main" val="0"/>
                        </a:ext>
                      </a:extLst>
                    </a:blip>
                    <a:stretch>
                      <a:fillRect/>
                    </a:stretch>
                  </pic:blipFill>
                  <pic:spPr>
                    <a:xfrm>
                      <a:off x="0" y="0"/>
                      <a:ext cx="6332220" cy="2790825"/>
                    </a:xfrm>
                    <a:prstGeom prst="rect">
                      <a:avLst/>
                    </a:prstGeom>
                  </pic:spPr>
                </pic:pic>
              </a:graphicData>
            </a:graphic>
          </wp:inline>
        </w:drawing>
      </w:r>
    </w:p>
    <w:p w:rsidR="001C177D" w:rsidRDefault="001C177D" w:rsidP="00B34ACE">
      <w:pPr>
        <w:jc w:val="both"/>
      </w:pPr>
    </w:p>
    <w:p w:rsidR="002E0446" w:rsidRDefault="002E0446" w:rsidP="00B34ACE">
      <w:pPr>
        <w:jc w:val="both"/>
      </w:pPr>
    </w:p>
    <w:p w:rsidR="002E0446" w:rsidRDefault="002E0446" w:rsidP="00B34ACE">
      <w:pPr>
        <w:jc w:val="both"/>
      </w:pPr>
      <w:r>
        <w:t>Imagen 2</w:t>
      </w:r>
    </w:p>
    <w:p w:rsidR="002E0446" w:rsidRDefault="002E0446" w:rsidP="00B34ACE">
      <w:pPr>
        <w:jc w:val="both"/>
      </w:pPr>
      <w:r>
        <w:rPr>
          <w:noProof/>
        </w:rPr>
        <w:drawing>
          <wp:inline distT="0" distB="0" distL="0" distR="0">
            <wp:extent cx="6332220" cy="35598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4.png"/>
                    <pic:cNvPicPr/>
                  </pic:nvPicPr>
                  <pic:blipFill>
                    <a:blip r:embed="rId9">
                      <a:extLst>
                        <a:ext uri="{28A0092B-C50C-407E-A947-70E740481C1C}">
                          <a14:useLocalDpi xmlns:a14="http://schemas.microsoft.com/office/drawing/2010/main" val="0"/>
                        </a:ext>
                      </a:extLst>
                    </a:blip>
                    <a:stretch>
                      <a:fillRect/>
                    </a:stretch>
                  </pic:blipFill>
                  <pic:spPr>
                    <a:xfrm>
                      <a:off x="0" y="0"/>
                      <a:ext cx="6332220" cy="3559810"/>
                    </a:xfrm>
                    <a:prstGeom prst="rect">
                      <a:avLst/>
                    </a:prstGeom>
                  </pic:spPr>
                </pic:pic>
              </a:graphicData>
            </a:graphic>
          </wp:inline>
        </w:drawing>
      </w:r>
    </w:p>
    <w:p w:rsidR="002E0446" w:rsidRDefault="002E0446" w:rsidP="00B34ACE">
      <w:pPr>
        <w:jc w:val="both"/>
      </w:pPr>
      <w:r>
        <w:lastRenderedPageBreak/>
        <w:t>Imagen 3</w:t>
      </w:r>
    </w:p>
    <w:p w:rsidR="002E0446" w:rsidRDefault="002E0446" w:rsidP="00B34ACE">
      <w:pPr>
        <w:jc w:val="both"/>
      </w:pPr>
      <w:r>
        <w:rPr>
          <w:noProof/>
        </w:rPr>
        <w:drawing>
          <wp:inline distT="0" distB="0" distL="0" distR="0">
            <wp:extent cx="6332220" cy="26650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6.PNG"/>
                    <pic:cNvPicPr/>
                  </pic:nvPicPr>
                  <pic:blipFill>
                    <a:blip r:embed="rId10">
                      <a:extLst>
                        <a:ext uri="{28A0092B-C50C-407E-A947-70E740481C1C}">
                          <a14:useLocalDpi xmlns:a14="http://schemas.microsoft.com/office/drawing/2010/main" val="0"/>
                        </a:ext>
                      </a:extLst>
                    </a:blip>
                    <a:stretch>
                      <a:fillRect/>
                    </a:stretch>
                  </pic:blipFill>
                  <pic:spPr>
                    <a:xfrm>
                      <a:off x="0" y="0"/>
                      <a:ext cx="6332220" cy="2665095"/>
                    </a:xfrm>
                    <a:prstGeom prst="rect">
                      <a:avLst/>
                    </a:prstGeom>
                  </pic:spPr>
                </pic:pic>
              </a:graphicData>
            </a:graphic>
          </wp:inline>
        </w:drawing>
      </w:r>
    </w:p>
    <w:p w:rsidR="001C177D" w:rsidRDefault="001C177D" w:rsidP="00B34ACE">
      <w:pPr>
        <w:jc w:val="both"/>
      </w:pPr>
    </w:p>
    <w:p w:rsidR="002E0446" w:rsidRDefault="002E0446" w:rsidP="00B34ACE">
      <w:pPr>
        <w:jc w:val="both"/>
      </w:pPr>
    </w:p>
    <w:p w:rsidR="001C177D" w:rsidRDefault="001C177D" w:rsidP="00B34ACE">
      <w:pPr>
        <w:jc w:val="both"/>
      </w:pPr>
    </w:p>
    <w:p w:rsidR="00B34ACE" w:rsidRDefault="00B34ACE" w:rsidP="00B34ACE">
      <w:pPr>
        <w:jc w:val="both"/>
      </w:pPr>
      <w:r>
        <w:t>Nota: Para cada configuración debe adjuntar al informe dos imágenes, una con las líneas equipotenciales y otra adicionando las líneas de campo.</w:t>
      </w:r>
    </w:p>
    <w:p w:rsidR="00B34ACE" w:rsidRDefault="00B34ACE" w:rsidP="00B34ACE">
      <w:pPr>
        <w:jc w:val="both"/>
      </w:pPr>
    </w:p>
    <w:p w:rsidR="00B34ACE" w:rsidRDefault="00B34ACE" w:rsidP="00B34ACE">
      <w:pPr>
        <w:jc w:val="both"/>
      </w:pPr>
      <w:r>
        <w:t>ANÁLISIS</w:t>
      </w:r>
    </w:p>
    <w:p w:rsidR="00B34ACE" w:rsidRDefault="00B34ACE" w:rsidP="00B34ACE">
      <w:pPr>
        <w:jc w:val="both"/>
      </w:pPr>
    </w:p>
    <w:p w:rsidR="00B34ACE" w:rsidRPr="00C9779A" w:rsidRDefault="00B34ACE" w:rsidP="00B34ACE">
      <w:pPr>
        <w:numPr>
          <w:ilvl w:val="0"/>
          <w:numId w:val="2"/>
        </w:numPr>
        <w:jc w:val="both"/>
        <w:rPr>
          <w:b/>
          <w:bCs/>
        </w:rPr>
      </w:pPr>
      <w:r w:rsidRPr="00C9779A">
        <w:rPr>
          <w:b/>
          <w:bCs/>
        </w:rPr>
        <w:t>¿Cuál es la forma general del campo eléctrico para cada uno de los dos tipos de carga eléctrica?</w:t>
      </w:r>
    </w:p>
    <w:p w:rsidR="002E0446" w:rsidRDefault="002E0446" w:rsidP="002E0446">
      <w:pPr>
        <w:ind w:left="720"/>
        <w:jc w:val="both"/>
      </w:pPr>
      <w:r>
        <w:t>Las cargas negativas son las que atraen</w:t>
      </w:r>
    </w:p>
    <w:p w:rsidR="002E0446" w:rsidRDefault="002E0446" w:rsidP="002E0446">
      <w:pPr>
        <w:ind w:left="720"/>
        <w:jc w:val="both"/>
      </w:pPr>
      <w:r>
        <w:t xml:space="preserve">Las cargas positivas las que repelen </w:t>
      </w:r>
    </w:p>
    <w:p w:rsidR="00B34ACE" w:rsidRDefault="00B34ACE" w:rsidP="00B34ACE">
      <w:pPr>
        <w:ind w:left="720"/>
        <w:jc w:val="both"/>
      </w:pPr>
    </w:p>
    <w:p w:rsidR="00B34ACE" w:rsidRPr="00C9779A" w:rsidRDefault="00B34ACE" w:rsidP="00B34ACE">
      <w:pPr>
        <w:numPr>
          <w:ilvl w:val="0"/>
          <w:numId w:val="2"/>
        </w:numPr>
        <w:jc w:val="both"/>
        <w:rPr>
          <w:b/>
          <w:bCs/>
        </w:rPr>
      </w:pPr>
      <w:r w:rsidRPr="00C9779A">
        <w:rPr>
          <w:b/>
          <w:bCs/>
        </w:rPr>
        <w:t>Explique ¿porque las líneas de campo son perpendiculares a las superficies equipotenciales?</w:t>
      </w:r>
    </w:p>
    <w:p w:rsidR="00C9779A" w:rsidRDefault="00C9779A" w:rsidP="00C9779A">
      <w:pPr>
        <w:ind w:left="720"/>
        <w:jc w:val="both"/>
      </w:pPr>
      <w:r>
        <w:t xml:space="preserve">Para que el trabajo realizado por una fuerza sea nulo esta debe ser perpendicular al desplazamiento, por lo que el campo eléctrico es siempre perpendicular a las superficies equipotenciales. </w:t>
      </w:r>
    </w:p>
    <w:p w:rsidR="00B34ACE" w:rsidRDefault="00B34ACE" w:rsidP="00B34ACE">
      <w:pPr>
        <w:ind w:left="720"/>
        <w:jc w:val="both"/>
      </w:pPr>
    </w:p>
    <w:p w:rsidR="00B34ACE" w:rsidRDefault="00B34ACE" w:rsidP="00B34ACE">
      <w:pPr>
        <w:numPr>
          <w:ilvl w:val="0"/>
          <w:numId w:val="2"/>
        </w:numPr>
        <w:jc w:val="both"/>
        <w:rPr>
          <w:b/>
          <w:bCs/>
        </w:rPr>
      </w:pPr>
      <w:r w:rsidRPr="00C9779A">
        <w:rPr>
          <w:b/>
          <w:bCs/>
        </w:rPr>
        <w:t>¿Qué puede decir al comparar las tres diferentes configuraciones? ¿importa la geometría (forma) de las configuraciones estudiadas? Explique y justifique su respuesta.</w:t>
      </w:r>
    </w:p>
    <w:p w:rsidR="00C9779A" w:rsidRPr="00C9779A" w:rsidRDefault="00C9779A" w:rsidP="00C9779A">
      <w:pPr>
        <w:ind w:left="720"/>
        <w:jc w:val="both"/>
      </w:pPr>
      <w:r>
        <w:t xml:space="preserve">No es relevante la geometría porque al final las cargas siempre van a jugar un mismo papel, las negativas son las que atraen y las positivas las que repelen. </w:t>
      </w:r>
    </w:p>
    <w:p w:rsidR="00C9779A" w:rsidRDefault="00C9779A" w:rsidP="00C9779A">
      <w:pPr>
        <w:ind w:left="720"/>
        <w:jc w:val="both"/>
      </w:pPr>
    </w:p>
    <w:p w:rsidR="00B34ACE" w:rsidRDefault="00B34ACE" w:rsidP="00B34ACE">
      <w:pPr>
        <w:ind w:left="720"/>
        <w:jc w:val="both"/>
      </w:pPr>
    </w:p>
    <w:p w:rsidR="00B34ACE" w:rsidRPr="0010018F" w:rsidRDefault="00B34ACE" w:rsidP="00B34ACE">
      <w:pPr>
        <w:numPr>
          <w:ilvl w:val="0"/>
          <w:numId w:val="2"/>
        </w:numPr>
        <w:jc w:val="both"/>
        <w:rPr>
          <w:b/>
          <w:bCs/>
        </w:rPr>
      </w:pPr>
      <w:r w:rsidRPr="0010018F">
        <w:rPr>
          <w:b/>
          <w:bCs/>
        </w:rPr>
        <w:t>Mencione y explique correctamente en qué leyes o conceptos físicos se basó para realizar esta práctica.</w:t>
      </w:r>
    </w:p>
    <w:p w:rsidR="00C9779A" w:rsidRDefault="00C9779A" w:rsidP="00C9779A">
      <w:pPr>
        <w:ind w:left="720"/>
        <w:jc w:val="both"/>
      </w:pPr>
      <w:r>
        <w:t xml:space="preserve">Nos basamos en la ley de </w:t>
      </w:r>
      <w:proofErr w:type="spellStart"/>
      <w:r>
        <w:t>coulumb</w:t>
      </w:r>
      <w:proofErr w:type="spellEnd"/>
      <w:r>
        <w:t xml:space="preserve"> porque establece como se da la interacción entre dos cargas puntuales. </w:t>
      </w:r>
    </w:p>
    <w:p w:rsidR="00C9779A" w:rsidRDefault="00C9779A" w:rsidP="00C9779A">
      <w:pPr>
        <w:ind w:left="720"/>
        <w:jc w:val="both"/>
      </w:pPr>
      <w:r>
        <w:t xml:space="preserve">También nos basamos en campo eléctrico porque es el efecto producido </w:t>
      </w:r>
      <w:r>
        <w:t xml:space="preserve">por la existencia de una carga </w:t>
      </w:r>
      <w:r w:rsidR="00CE1BAF">
        <w:t>eléctrica y</w:t>
      </w:r>
      <w:r>
        <w:t xml:space="preserve"> en superficies equipotenciales porque cuando una partícula se mueve a lo largo de una superficie equipotencial las fuerzas eléctricas no realizan trabajo.  </w:t>
      </w:r>
    </w:p>
    <w:p w:rsidR="00B34ACE" w:rsidRDefault="00B34ACE" w:rsidP="00B34ACE">
      <w:pPr>
        <w:ind w:left="720"/>
        <w:jc w:val="both"/>
      </w:pPr>
    </w:p>
    <w:p w:rsidR="00B34ACE" w:rsidRPr="0010018F" w:rsidRDefault="00B34ACE" w:rsidP="00B34ACE">
      <w:pPr>
        <w:numPr>
          <w:ilvl w:val="0"/>
          <w:numId w:val="2"/>
        </w:numPr>
        <w:jc w:val="both"/>
        <w:rPr>
          <w:b/>
          <w:bCs/>
        </w:rPr>
      </w:pPr>
      <w:r w:rsidRPr="0010018F">
        <w:rPr>
          <w:b/>
          <w:bCs/>
        </w:rPr>
        <w:lastRenderedPageBreak/>
        <w:t>Escriba tres conclusiones sobre esta práctica.</w:t>
      </w:r>
    </w:p>
    <w:p w:rsidR="008255C9" w:rsidRDefault="008255C9" w:rsidP="008255C9">
      <w:pPr>
        <w:pStyle w:val="Prrafodelista"/>
        <w:numPr>
          <w:ilvl w:val="0"/>
          <w:numId w:val="7"/>
        </w:numPr>
        <w:jc w:val="both"/>
      </w:pPr>
      <w:r>
        <w:t xml:space="preserve">Se concluye que el campo eléctrico no cambia en forma abrupta su dirección al pasar por una región del espacio libre de cargas. </w:t>
      </w:r>
    </w:p>
    <w:p w:rsidR="008255C9" w:rsidRDefault="008255C9" w:rsidP="008255C9">
      <w:pPr>
        <w:pStyle w:val="Prrafodelista"/>
        <w:numPr>
          <w:ilvl w:val="0"/>
          <w:numId w:val="7"/>
        </w:numPr>
        <w:jc w:val="both"/>
      </w:pPr>
      <w:r>
        <w:t xml:space="preserve">Se concluyó que la fuerza actúa a lo largo de las líneas que une las </w:t>
      </w:r>
      <w:r w:rsidR="00761DD4">
        <w:t>cargas (</w:t>
      </w:r>
      <w:r>
        <w:t xml:space="preserve">ley de coulomb) </w:t>
      </w:r>
    </w:p>
    <w:p w:rsidR="008255C9" w:rsidRDefault="008255C9" w:rsidP="008255C9">
      <w:pPr>
        <w:pStyle w:val="Prrafodelista"/>
        <w:numPr>
          <w:ilvl w:val="0"/>
          <w:numId w:val="7"/>
        </w:numPr>
        <w:jc w:val="both"/>
      </w:pPr>
      <w:r>
        <w:t xml:space="preserve">Se concluyó que no importa la forma ni el tamaño a la hora de la interacción entre cargas. </w:t>
      </w:r>
    </w:p>
    <w:p w:rsidR="00B34ACE" w:rsidRDefault="00B34ACE" w:rsidP="00B34ACE">
      <w:pPr>
        <w:ind w:left="720"/>
        <w:jc w:val="both"/>
      </w:pPr>
    </w:p>
    <w:p w:rsidR="00B34ACE" w:rsidRPr="0010018F" w:rsidRDefault="00B34ACE" w:rsidP="00B34ACE">
      <w:pPr>
        <w:numPr>
          <w:ilvl w:val="0"/>
          <w:numId w:val="2"/>
        </w:numPr>
        <w:jc w:val="both"/>
        <w:rPr>
          <w:b/>
          <w:bCs/>
        </w:rPr>
      </w:pPr>
      <w:bookmarkStart w:id="0" w:name="_GoBack"/>
      <w:r w:rsidRPr="0010018F">
        <w:rPr>
          <w:b/>
          <w:bCs/>
        </w:rPr>
        <w:t>Enuncie dos aplicaciones de este concepto a la vida real</w:t>
      </w:r>
    </w:p>
    <w:bookmarkEnd w:id="0"/>
    <w:p w:rsidR="00D65BC1" w:rsidRDefault="00D65BC1" w:rsidP="00D65BC1">
      <w:pPr>
        <w:pStyle w:val="Prrafodelista"/>
      </w:pPr>
    </w:p>
    <w:p w:rsidR="00D65BC1" w:rsidRDefault="00D65BC1" w:rsidP="00D65BC1">
      <w:pPr>
        <w:pStyle w:val="Prrafodelista"/>
        <w:numPr>
          <w:ilvl w:val="0"/>
          <w:numId w:val="6"/>
        </w:numPr>
        <w:jc w:val="both"/>
      </w:pPr>
      <w:r>
        <w:t xml:space="preserve">Electroimán </w:t>
      </w:r>
    </w:p>
    <w:p w:rsidR="008255C9" w:rsidRDefault="008255C9" w:rsidP="00D65BC1">
      <w:pPr>
        <w:pStyle w:val="Prrafodelista"/>
        <w:numPr>
          <w:ilvl w:val="0"/>
          <w:numId w:val="6"/>
        </w:numPr>
        <w:jc w:val="both"/>
      </w:pPr>
      <w:r>
        <w:t xml:space="preserve">Horno microondas </w:t>
      </w:r>
    </w:p>
    <w:p w:rsidR="00D65BC1" w:rsidRDefault="00D65BC1" w:rsidP="00D65BC1">
      <w:pPr>
        <w:pStyle w:val="Prrafodelista"/>
      </w:pPr>
    </w:p>
    <w:p w:rsidR="00B6634D" w:rsidRDefault="00B6634D" w:rsidP="00D65BC1"/>
    <w:sectPr w:rsidR="00B6634D">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default"/>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C3119"/>
    <w:multiLevelType w:val="hybridMultilevel"/>
    <w:tmpl w:val="477E2CD2"/>
    <w:lvl w:ilvl="0" w:tplc="02967502">
      <w:numFmt w:val="bullet"/>
      <w:lvlText w:val="-"/>
      <w:lvlJc w:val="left"/>
      <w:pPr>
        <w:ind w:left="1080" w:hanging="360"/>
      </w:pPr>
      <w:rPr>
        <w:rFonts w:ascii="Liberation Serif" w:eastAsia="Noto Serif CJK SC" w:hAnsi="Liberation Serif" w:cs="Lohit Devanaga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34420384"/>
    <w:multiLevelType w:val="hybridMultilevel"/>
    <w:tmpl w:val="0B168608"/>
    <w:lvl w:ilvl="0" w:tplc="6B70317E">
      <w:numFmt w:val="bullet"/>
      <w:lvlText w:val="-"/>
      <w:lvlJc w:val="left"/>
      <w:pPr>
        <w:ind w:left="1080" w:hanging="360"/>
      </w:pPr>
      <w:rPr>
        <w:rFonts w:ascii="Liberation Serif" w:eastAsia="Noto Serif CJK SC" w:hAnsi="Liberation Serif" w:cs="Lohit Devanaga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44C914F1"/>
    <w:multiLevelType w:val="multilevel"/>
    <w:tmpl w:val="39D8722C"/>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3" w15:restartNumberingAfterBreak="0">
    <w:nsid w:val="49A875DA"/>
    <w:multiLevelType w:val="multilevel"/>
    <w:tmpl w:val="FE349E3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D9D43A9"/>
    <w:multiLevelType w:val="hybridMultilevel"/>
    <w:tmpl w:val="A3FA3DEA"/>
    <w:lvl w:ilvl="0" w:tplc="D18C7B10">
      <w:numFmt w:val="bullet"/>
      <w:lvlText w:val="-"/>
      <w:lvlJc w:val="left"/>
      <w:pPr>
        <w:ind w:left="1080" w:hanging="360"/>
      </w:pPr>
      <w:rPr>
        <w:rFonts w:ascii="Liberation Serif" w:eastAsia="Noto Serif CJK SC" w:hAnsi="Liberation Serif" w:cs="Lohit Devanaga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57EE0A12"/>
    <w:multiLevelType w:val="hybridMultilevel"/>
    <w:tmpl w:val="03263D8A"/>
    <w:lvl w:ilvl="0" w:tplc="767016E8">
      <w:numFmt w:val="bullet"/>
      <w:lvlText w:val="-"/>
      <w:lvlJc w:val="left"/>
      <w:pPr>
        <w:ind w:left="420" w:hanging="360"/>
      </w:pPr>
      <w:rPr>
        <w:rFonts w:ascii="Liberation Serif" w:eastAsia="Noto Serif CJK SC" w:hAnsi="Liberation Serif" w:cs="Lohit Devanagari"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6" w15:restartNumberingAfterBreak="0">
    <w:nsid w:val="634D5F77"/>
    <w:multiLevelType w:val="hybridMultilevel"/>
    <w:tmpl w:val="742C47D8"/>
    <w:lvl w:ilvl="0" w:tplc="3B8AA8AC">
      <w:numFmt w:val="bullet"/>
      <w:lvlText w:val="-"/>
      <w:lvlJc w:val="left"/>
      <w:pPr>
        <w:ind w:left="720" w:hanging="360"/>
      </w:pPr>
      <w:rPr>
        <w:rFonts w:ascii="Liberation Serif" w:eastAsia="Noto Serif CJK SC" w:hAnsi="Liberation Serif" w:cs="Lohit Devanaga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6"/>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ACE"/>
    <w:rsid w:val="0010018F"/>
    <w:rsid w:val="001C177D"/>
    <w:rsid w:val="00290F30"/>
    <w:rsid w:val="002E0446"/>
    <w:rsid w:val="00761DD4"/>
    <w:rsid w:val="008255C9"/>
    <w:rsid w:val="00922A27"/>
    <w:rsid w:val="00A02132"/>
    <w:rsid w:val="00B34ACE"/>
    <w:rsid w:val="00B6634D"/>
    <w:rsid w:val="00C9779A"/>
    <w:rsid w:val="00CE1BAF"/>
    <w:rsid w:val="00D65BC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A334D"/>
  <w15:chartTrackingRefBased/>
  <w15:docId w15:val="{7079D0D6-2466-4E93-AC6E-CC82DF43A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79A"/>
    <w:pPr>
      <w:spacing w:after="0" w:line="240" w:lineRule="auto"/>
    </w:pPr>
    <w:rPr>
      <w:rFonts w:ascii="Liberation Serif" w:eastAsia="Noto Serif CJK SC" w:hAnsi="Liberation Serif" w:cs="Lohit Devanagari"/>
      <w:kern w:val="2"/>
      <w:sz w:val="24"/>
      <w:szCs w:val="24"/>
      <w:lang w:val="es-E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65BC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5</Pages>
  <Words>463</Words>
  <Characters>2548</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Marcelo Tapia Casanova</dc:creator>
  <cp:keywords/>
  <dc:description/>
  <cp:lastModifiedBy>Fernanda Sanchez</cp:lastModifiedBy>
  <cp:revision>16</cp:revision>
  <dcterms:created xsi:type="dcterms:W3CDTF">2020-03-24T22:23:00Z</dcterms:created>
  <dcterms:modified xsi:type="dcterms:W3CDTF">2020-03-25T18:24:00Z</dcterms:modified>
</cp:coreProperties>
</file>