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Analiza podatności protokołów sieciowych i błędów logicznych w implementacjach kryptograficznych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Daniel Kubiela · Technologie Informatyczne · praca inżynierska</w:t>
      </w:r>
    </w:p>
    <w:p>
      <w:pPr>
        <w:pStyle w:val="Heading1"/>
        <w:spacing w:after="240"/>
      </w:pPr>
      <w:r>
        <w:t xml:space="preserve">Spis treści (wersja robocza)</w:t>
      </w:r>
    </w:p>
    <w:p>
      <w:pPr>
        <w:spacing w:after="60" w:before="200"/>
      </w:pPr>
      <w:r>
        <w:rPr>
          <w:b/>
          <w:bCs/>
        </w:rPr>
        <w:t xml:space="preserve">1. Wstęp</w:t>
      </w:r>
    </w:p>
    <w:p>
      <w:pPr>
        <w:spacing w:after="40"/>
        <w:ind w:left="567"/>
      </w:pPr>
      <w:r>
        <w:t xml:space="preserve">1.1. Uzasadnienie wyboru tematu</w:t>
      </w:r>
    </w:p>
    <w:p>
      <w:pPr>
        <w:spacing w:after="40"/>
        <w:ind w:left="567"/>
      </w:pPr>
      <w:r>
        <w:t xml:space="preserve">1.2. Cel i zakres pracy</w:t>
      </w:r>
    </w:p>
    <w:p>
      <w:pPr>
        <w:spacing w:after="40"/>
        <w:ind w:left="567"/>
      </w:pPr>
      <w:r>
        <w:t xml:space="preserve">1.3. Pytania badawcze</w:t>
      </w:r>
    </w:p>
    <w:p>
      <w:pPr>
        <w:spacing w:after="40"/>
        <w:ind w:left="567"/>
      </w:pPr>
      <w:r>
        <w:t xml:space="preserve">1.4. Struktura pracy</w:t>
      </w:r>
    </w:p>
    <w:p>
      <w:pPr>
        <w:spacing w:after="60" w:before="200"/>
      </w:pPr>
      <w:r>
        <w:rPr>
          <w:b/>
          <w:bCs/>
        </w:rPr>
        <w:t xml:space="preserve">2. Model zagrożeń i podstawy kryptograficzne</w:t>
      </w:r>
    </w:p>
    <w:p>
      <w:pPr>
        <w:spacing w:after="40"/>
        <w:ind w:left="567"/>
      </w:pPr>
      <w:r>
        <w:t xml:space="preserve">2.1. Etapy ataku w ujęciu modelu Cyber Kill Chain</w:t>
      </w:r>
    </w:p>
    <w:p>
      <w:pPr>
        <w:spacing w:after="40"/>
        <w:ind w:left="567"/>
      </w:pPr>
      <w:r>
        <w:t xml:space="preserve">2.2. Poufność, integralność i autentyczność danych</w:t>
      </w:r>
    </w:p>
    <w:p>
      <w:pPr>
        <w:spacing w:after="40"/>
        <w:ind w:left="567"/>
      </w:pPr>
      <w:r>
        <w:t xml:space="preserve">2.3. Tryby pracy szyfrów: strumieniowe, CBC, AEAD</w:t>
      </w:r>
    </w:p>
    <w:p>
      <w:pPr>
        <w:spacing w:after="40"/>
        <w:ind w:left="567"/>
      </w:pPr>
      <w:r>
        <w:t xml:space="preserve">2.4. Funkcje skrótu i kody uwierzytelniające (Merkle-Damgård, HMAC)</w:t>
      </w:r>
    </w:p>
    <w:p>
      <w:pPr>
        <w:spacing w:after="40"/>
        <w:ind w:left="567"/>
      </w:pPr>
      <w:r>
        <w:t xml:space="preserve">2.5. Funkcje derywacji klucza: compute-hard i memory-hard</w:t>
      </w:r>
    </w:p>
    <w:p>
      <w:pPr>
        <w:spacing w:after="40"/>
        <w:ind w:left="567"/>
      </w:pPr>
      <w:r>
        <w:t xml:space="preserve">2.6. Mechanizmy negocjacji parametrów sesji w protokole TLS</w:t>
      </w:r>
    </w:p>
    <w:p>
      <w:pPr>
        <w:spacing w:after="60" w:before="200"/>
      </w:pPr>
      <w:r>
        <w:rPr>
          <w:b/>
          <w:bCs/>
        </w:rPr>
        <w:t xml:space="preserve">3. Środowisko badawcze</w:t>
      </w:r>
    </w:p>
    <w:p>
      <w:pPr>
        <w:spacing w:after="40"/>
        <w:ind w:left="567"/>
      </w:pPr>
      <w:r>
        <w:t xml:space="preserve">3.1. Założenia i wymagania</w:t>
      </w:r>
    </w:p>
    <w:p>
      <w:pPr>
        <w:spacing w:after="40"/>
        <w:ind w:left="567"/>
      </w:pPr>
      <w:r>
        <w:t xml:space="preserve">3.2. Topologia stanowiska laboratoryjnego</w:t>
      </w:r>
    </w:p>
    <w:p>
      <w:pPr>
        <w:spacing w:after="40"/>
        <w:ind w:left="567"/>
      </w:pPr>
      <w:r>
        <w:t xml:space="preserve">3.3. Konfiguracja maszyn i usług</w:t>
      </w:r>
    </w:p>
    <w:p>
      <w:pPr>
        <w:spacing w:after="40"/>
        <w:ind w:left="567"/>
      </w:pPr>
      <w:r>
        <w:t xml:space="preserve">3.4. Platforma sprzętowa do badań wydajnościowych</w:t>
      </w:r>
    </w:p>
    <w:p>
      <w:pPr>
        <w:spacing w:after="40"/>
        <w:ind w:left="567"/>
      </w:pPr>
      <w:r>
        <w:t xml:space="preserve">3.5. Metodyka pomiarów</w:t>
      </w:r>
    </w:p>
    <w:p>
      <w:pPr>
        <w:spacing w:after="60" w:before="200"/>
      </w:pPr>
      <w:r>
        <w:rPr>
          <w:b/>
          <w:bCs/>
        </w:rPr>
        <w:t xml:space="preserve">4. Analiza ataków na mechanizmy negocjacji sesji i integralność danych</w:t>
      </w:r>
    </w:p>
    <w:p>
      <w:pPr>
        <w:spacing w:after="40"/>
        <w:ind w:left="567"/>
      </w:pPr>
      <w:r>
        <w:t xml:space="preserve">4.1. Uzyskanie pozycji pośrednika w sieci lokalnej</w:t>
      </w:r>
    </w:p>
    <w:p>
      <w:pPr>
        <w:spacing w:after="40"/>
        <w:ind w:left="567"/>
      </w:pPr>
      <w:r>
        <w:t xml:space="preserve">4.2. Wymuszenie słabszych parametrów sesji i mechanizmy ochronne</w:t>
      </w:r>
    </w:p>
    <w:p>
      <w:pPr>
        <w:spacing w:after="40"/>
        <w:ind w:left="567"/>
      </w:pPr>
      <w:r>
        <w:t xml:space="preserve">4.3. Plastyczność szyfru strumieniowego</w:t>
      </w:r>
    </w:p>
    <w:p>
      <w:pPr>
        <w:spacing w:after="40"/>
        <w:ind w:left="567"/>
      </w:pPr>
      <w:r>
        <w:t xml:space="preserve">4.4. Modyfikacja danych zaszyfrowanych w trybie CBC</w:t>
      </w:r>
    </w:p>
    <w:p>
      <w:pPr>
        <w:spacing w:after="40"/>
        <w:ind w:left="567"/>
      </w:pPr>
      <w:r>
        <w:t xml:space="preserve">4.5. Rozszerzenie długości skrótu w konstrukcji sekret || wiadomość</w:t>
      </w:r>
    </w:p>
    <w:p>
      <w:pPr>
        <w:spacing w:after="40"/>
        <w:ind w:left="567"/>
      </w:pPr>
      <w:r>
        <w:t xml:space="preserve">4.6. Podsumowanie wyników</w:t>
      </w:r>
    </w:p>
    <w:p>
      <w:pPr>
        <w:spacing w:after="60" w:before="200"/>
      </w:pPr>
      <w:r>
        <w:rPr>
          <w:b/>
          <w:bCs/>
        </w:rPr>
        <w:t xml:space="preserve">5. Badanie wydajności kryptoanalizy offline z wykorzystaniem GPU</w:t>
      </w:r>
    </w:p>
    <w:p>
      <w:pPr>
        <w:spacing w:after="40"/>
        <w:ind w:left="567"/>
      </w:pPr>
      <w:r>
        <w:t xml:space="preserve">5.1. Zakres i plan eksperymentu</w:t>
      </w:r>
    </w:p>
    <w:p>
      <w:pPr>
        <w:spacing w:after="40"/>
        <w:ind w:left="567"/>
      </w:pPr>
      <w:r>
        <w:t xml:space="preserve">5.2. Wyniki dla algorytmów compute-hard</w:t>
      </w:r>
    </w:p>
    <w:p>
      <w:pPr>
        <w:spacing w:after="40"/>
        <w:ind w:left="567"/>
      </w:pPr>
      <w:r>
        <w:t xml:space="preserve">5.3. Wyniki dla algorytmów memory-hard</w:t>
      </w:r>
    </w:p>
    <w:p>
      <w:pPr>
        <w:spacing w:after="40"/>
        <w:ind w:left="567"/>
      </w:pPr>
      <w:r>
        <w:t xml:space="preserve">5.4. Wpływ parametrów kosztu na wydajność</w:t>
      </w:r>
    </w:p>
    <w:p>
      <w:pPr>
        <w:spacing w:after="40"/>
        <w:ind w:left="567"/>
      </w:pPr>
      <w:r>
        <w:t xml:space="preserve">5.5. Porównanie GPU i CPU oraz interpretacja wyników</w:t>
      </w:r>
    </w:p>
    <w:p>
      <w:pPr>
        <w:spacing w:after="60" w:before="200"/>
      </w:pPr>
      <w:r>
        <w:rPr>
          <w:b/>
          <w:bCs/>
        </w:rPr>
        <w:t xml:space="preserve">6. Projekt i weryfikacja wielowarstwowego systemu obronnego</w:t>
      </w:r>
    </w:p>
    <w:p>
      <w:pPr>
        <w:spacing w:after="40"/>
        <w:ind w:left="567"/>
      </w:pPr>
      <w:r>
        <w:t xml:space="preserve">6.1. Detekcja w warstwie sieciowej (IDS)</w:t>
      </w:r>
    </w:p>
    <w:p>
      <w:pPr>
        <w:spacing w:after="40"/>
        <w:ind w:left="567"/>
      </w:pPr>
      <w:r>
        <w:t xml:space="preserve">6.2. Detekcja prób eksfiltracji na podstawie analizy entropii</w:t>
      </w:r>
    </w:p>
    <w:p>
      <w:pPr>
        <w:spacing w:after="40"/>
        <w:ind w:left="567"/>
      </w:pPr>
      <w:r>
        <w:t xml:space="preserve">6.3. Weryfikacja skuteczności systemu</w:t>
      </w:r>
    </w:p>
    <w:p>
      <w:pPr>
        <w:spacing w:after="40"/>
        <w:ind w:left="567"/>
      </w:pPr>
      <w:r>
        <w:t xml:space="preserve">6.4. Ograniczenia rozwiązania</w:t>
      </w:r>
    </w:p>
    <w:p>
      <w:pPr>
        <w:spacing w:after="60" w:before="200"/>
      </w:pPr>
      <w:r>
        <w:rPr>
          <w:b/>
          <w:bCs/>
        </w:rPr>
        <w:t xml:space="preserve">7. Podsumowanie i wnioski</w:t>
      </w:r>
    </w:p>
    <w:p>
      <w:pPr>
        <w:spacing w:after="40"/>
        <w:ind w:left="567"/>
      </w:pPr>
      <w:r>
        <w:t xml:space="preserve">7.1. Odpowiedzi na pytania badawcze</w:t>
      </w:r>
    </w:p>
    <w:p>
      <w:pPr>
        <w:spacing w:after="40"/>
        <w:ind w:left="567"/>
      </w:pPr>
      <w:r>
        <w:t xml:space="preserve">7.2. Rekomendacje dotyczące utwardzania systemów</w:t>
      </w:r>
    </w:p>
    <w:p>
      <w:pPr>
        <w:spacing w:after="40"/>
        <w:ind w:left="567"/>
      </w:pPr>
      <w:r>
        <w:t xml:space="preserve">7.3. Kierunki dalszych prac</w:t>
      </w:r>
    </w:p>
    <w:p>
      <w:pPr>
        <w:pStyle w:val="Heading1"/>
        <w:pageBreakBefore/>
        <w:spacing w:after="240"/>
      </w:pPr>
      <w:r>
        <w:t xml:space="preserve">Bibliografia</w:t>
      </w:r>
    </w:p>
    <w:p>
      <w:pPr>
        <w:spacing w:after="40"/>
        <w:ind w:left="567" w:hanging="567"/>
      </w:pPr>
      <w:r>
        <w:t xml:space="preserve">[1]	Rescorla E., </w:t>
      </w:r>
      <w:r>
        <w:rPr>
          <w:i/>
          <w:iCs/>
        </w:rPr>
        <w:t xml:space="preserve">The Transport Layer Security (TLS) Protocol Version 1.3</w:t>
      </w:r>
      <w:r>
        <w:t xml:space="preserve">, RFC 9846, IETF, 2026.</w:t>
      </w:r>
    </w:p>
    <w:p>
      <w:pPr>
        <w:spacing w:after="40"/>
        <w:ind w:left="567"/>
      </w:pPr>
      <w:hyperlink w:history="1" r:id="rIdfqzvl8qvi6-c6mhl8olf7">
        <w:r>
          <w:rPr>
            <w:rStyle w:val="Hyperlink"/>
          </w:rPr>
          <w:t xml:space="preserve">https://www.rfc-editor.org/rfc/rfc9846</w:t>
        </w:r>
      </w:hyperlink>
    </w:p>
    <w:p>
      <w:pPr>
        <w:spacing w:after="200"/>
        <w:ind w:left="567"/>
      </w:pPr>
      <w:r>
        <w:rPr>
          <w:color w:val="555555"/>
          <w:sz w:val="20"/>
          <w:szCs w:val="20"/>
        </w:rPr>
        <w:t xml:space="preserve">Zastępuje RFC 8446 i RFC 5246. Rozdz. 2.6, 4.2.</w:t>
      </w:r>
    </w:p>
    <w:p>
      <w:pPr>
        <w:spacing w:after="40"/>
        <w:ind w:left="567" w:hanging="567"/>
      </w:pPr>
      <w:r>
        <w:t xml:space="preserve">[2]	Krawczyk H., Bellare M., Canetti R., </w:t>
      </w:r>
      <w:r>
        <w:rPr>
          <w:i/>
          <w:iCs/>
        </w:rPr>
        <w:t xml:space="preserve">HMAC: Keyed-Hashing for Message Authentication</w:t>
      </w:r>
      <w:r>
        <w:t xml:space="preserve">, RFC 2104, IETF, 1997.</w:t>
      </w:r>
    </w:p>
    <w:p>
      <w:pPr>
        <w:spacing w:after="40"/>
        <w:ind w:left="567"/>
      </w:pPr>
      <w:hyperlink w:history="1" r:id="rIdtyqkyz-asjywlstxzpn62">
        <w:r>
          <w:rPr>
            <w:rStyle w:val="Hyperlink"/>
          </w:rPr>
          <w:t xml:space="preserve">https://www.rfc-editor.org/rfc/rfc2104</w:t>
        </w:r>
      </w:hyperlink>
    </w:p>
    <w:p>
      <w:pPr>
        <w:spacing w:after="200"/>
        <w:ind w:left="567"/>
      </w:pPr>
      <w:r>
        <w:rPr>
          <w:color w:val="555555"/>
          <w:sz w:val="20"/>
          <w:szCs w:val="20"/>
        </w:rPr>
        <w:t xml:space="preserve">Rozdz. 2.4, 4.5.</w:t>
      </w:r>
    </w:p>
    <w:p>
      <w:pPr>
        <w:spacing w:after="40"/>
        <w:ind w:left="567" w:hanging="567"/>
      </w:pPr>
      <w:r>
        <w:t xml:space="preserve">[3]	Biryukov A., Dinu D., Khovratovich D., Josefsson S., </w:t>
      </w:r>
      <w:r>
        <w:rPr>
          <w:i/>
          <w:iCs/>
        </w:rPr>
        <w:t xml:space="preserve">Argon2 Memory-Hard Function for Password Hashing and Proof-of-Work Applications</w:t>
      </w:r>
      <w:r>
        <w:t xml:space="preserve">, RFC 9106, IETF, 2021.</w:t>
      </w:r>
    </w:p>
    <w:p>
      <w:pPr>
        <w:spacing w:after="40"/>
        <w:ind w:left="567"/>
      </w:pPr>
      <w:hyperlink w:history="1" r:id="rIdcftgqlpmqidg0wroyojci">
        <w:r>
          <w:rPr>
            <w:rStyle w:val="Hyperlink"/>
          </w:rPr>
          <w:t xml:space="preserve">https://www.rfc-editor.org/rfc/rfc9106</w:t>
        </w:r>
      </w:hyperlink>
    </w:p>
    <w:p>
      <w:pPr>
        <w:spacing w:after="200"/>
        <w:ind w:left="567"/>
      </w:pPr>
      <w:r>
        <w:rPr>
          <w:color w:val="555555"/>
          <w:sz w:val="20"/>
          <w:szCs w:val="20"/>
        </w:rPr>
        <w:t xml:space="preserve">Rozdz. 2.5, 5.</w:t>
      </w:r>
    </w:p>
    <w:p>
      <w:pPr>
        <w:spacing w:after="40"/>
        <w:ind w:left="567" w:hanging="567"/>
      </w:pPr>
      <w:r>
        <w:t xml:space="preserve">[4]	NIST, </w:t>
      </w:r>
      <w:r>
        <w:rPr>
          <w:i/>
          <w:iCs/>
        </w:rPr>
        <w:t xml:space="preserve">Digital Identity Guidelines: Authentication and Authenticator Management</w:t>
      </w:r>
      <w:r>
        <w:t xml:space="preserve">, NIST SP 800-63B-4, 2025.</w:t>
      </w:r>
    </w:p>
    <w:p>
      <w:pPr>
        <w:spacing w:after="40"/>
        <w:ind w:left="567"/>
      </w:pPr>
      <w:hyperlink w:history="1" r:id="rIdjrwkjbookrd96zyt2raok">
        <w:r>
          <w:rPr>
            <w:rStyle w:val="Hyperlink"/>
          </w:rPr>
          <w:t xml:space="preserve">https://csrc.nist.gov/pubs/sp/800/63/b/4/final</w:t>
        </w:r>
      </w:hyperlink>
    </w:p>
    <w:p>
      <w:pPr>
        <w:spacing w:after="200"/>
        <w:ind w:left="567"/>
      </w:pPr>
      <w:r>
        <w:rPr>
          <w:color w:val="555555"/>
          <w:sz w:val="20"/>
          <w:szCs w:val="20"/>
        </w:rPr>
        <w:t xml:space="preserve">Rozdz. 5.5, 7.2.</w:t>
      </w:r>
    </w:p>
    <w:p>
      <w:pPr>
        <w:spacing w:after="40"/>
        <w:ind w:left="567" w:hanging="567"/>
      </w:pPr>
      <w:r>
        <w:t xml:space="preserve">[5]	Scarfone K., Mell P., </w:t>
      </w:r>
      <w:r>
        <w:rPr>
          <w:i/>
          <w:iCs/>
        </w:rPr>
        <w:t xml:space="preserve">Guide to Intrusion Detection and Prevention Systems (IDPS)</w:t>
      </w:r>
      <w:r>
        <w:t xml:space="preserve">, NIST SP 800-94, 2007.</w:t>
      </w:r>
    </w:p>
    <w:p>
      <w:pPr>
        <w:spacing w:after="40"/>
        <w:ind w:left="567"/>
      </w:pPr>
      <w:hyperlink w:history="1" r:id="rIdmyy9qotlohhpi847hfkxe">
        <w:r>
          <w:rPr>
            <w:rStyle w:val="Hyperlink"/>
          </w:rPr>
          <w:t xml:space="preserve">https://csrc.nist.gov/pubs/sp/800/94/final</w:t>
        </w:r>
      </w:hyperlink>
    </w:p>
    <w:p>
      <w:pPr>
        <w:spacing w:after="200"/>
        <w:ind w:left="567"/>
      </w:pPr>
      <w:r>
        <w:rPr>
          <w:color w:val="555555"/>
          <w:sz w:val="20"/>
          <w:szCs w:val="20"/>
        </w:rPr>
        <w:t xml:space="preserve">Rozdz. 6.1.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zvl8qvi6-c6mhl8olf7" Type="http://schemas.openxmlformats.org/officeDocument/2006/relationships/hyperlink" Target="https://www.rfc-editor.org/rfc/rfc9846" TargetMode="External"/><Relationship Id="rIdtyqkyz-asjywlstxzpn62" Type="http://schemas.openxmlformats.org/officeDocument/2006/relationships/hyperlink" Target="https://www.rfc-editor.org/rfc/rfc2104" TargetMode="External"/><Relationship Id="rIdcftgqlpmqidg0wroyojci" Type="http://schemas.openxmlformats.org/officeDocument/2006/relationships/hyperlink" Target="https://www.rfc-editor.org/rfc/rfc9106" TargetMode="External"/><Relationship Id="rIdjrwkjbookrd96zyt2raok" Type="http://schemas.openxmlformats.org/officeDocument/2006/relationships/hyperlink" Target="https://csrc.nist.gov/pubs/sp/800/63/b/4/final" TargetMode="External"/><Relationship Id="rIdmyy9qotlohhpi847hfkxe" Type="http://schemas.openxmlformats.org/officeDocument/2006/relationships/hyperlink" Target="https://csrc.nist.gov/pubs/sp/800/94/fina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Spis treści – praca inżynierska</dc:title>
  <dc:creator>Daniel Kubiela</dc:creator>
  <cp:lastModifiedBy>Un-named</cp:lastModifiedBy>
  <cp:revision>1</cp:revision>
  <dcterms:created xsi:type="dcterms:W3CDTF">2026-10-20T08:07:59.828Z</dcterms:created>
  <dcterms:modified xsi:type="dcterms:W3CDTF">2026-10-20T08:07:59.828Z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