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Resposta à terceira revisão – AcroSUS</w:t>
      </w:r>
    </w:p>
    <w:p>
      <w:pPr>
        <w:spacing w:after="120"/>
      </w:pPr>
      <w:r>
        <w:rPr>
          <w:color w:val="404040"/>
          <w:sz w:val="26"/>
          <w:szCs w:val="26"/>
        </w:rPr>
        <w:t xml:space="preserve">Correções feitas no código, localização dos resultados e textos sugeridos para o artigo</w:t>
      </w:r>
    </w:p>
    <w:p>
      <w:pPr>
        <w:spacing w:after="120"/>
      </w:pPr>
      <w:r>
        <w:t xml:space="preserve">Documento de trabalho dos autores referente à revisão feita em 07/09/2026. Ao abrir no Word, atualize o sumário (clique com o botão direito sobre ele e escolha "Atualizar campo").</w:t>
      </w:r>
    </w:p>
    <w:p>
      <w:pPr>
        <w:pStyle w:val="Heading1"/>
      </w:pPr>
      <w:bookmarkStart w:name="_Toc1" w:id="1"/>
      <w:r>
        <w:t xml:space="preserve">Como usar este documento</w:t>
      </w:r>
      <w:bookmarkEnd w:id="1"/>
    </w:p>
    <w:p>
      <w:pPr>
        <w:spacing w:after="120"/>
      </w:pPr>
      <w:r>
        <w:t xml:space="preserve">Cada item da revisão (arquivo </w:t>
      </w:r>
      <w:r>
        <w:rPr>
          <w:rFonts w:ascii="Consolas" w:cs="Consolas" w:eastAsia="Consolas" w:hAnsi="Consolas"/>
          <w:sz w:val="19"/>
          <w:szCs w:val="19"/>
        </w:rPr>
        <w:t xml:space="preserve">3a_Rev_AcroSUS_Completo.docx</w:t>
      </w:r>
      <w:r>
        <w:t xml:space="preserve">) está dividido em quatro partes:</w:t>
      </w:r>
    </w:p>
    <w:p>
      <w:pPr>
        <w:pStyle w:val="ListParagraph"/>
        <w:numPr>
          <w:ilvl w:val="0"/>
          <w:numId w:val="2"/>
        </w:numPr>
        <w:spacing w:after="60"/>
      </w:pPr>
      <w:r>
        <w:rPr>
          <w:b/>
          <w:bCs/>
        </w:rPr>
        <w:t xml:space="preserve">Comentário do revisor</w:t>
      </w:r>
      <w:r>
        <w:t xml:space="preserve">: tradução do pedido do revisor.</w:t>
      </w:r>
    </w:p>
    <w:p>
      <w:pPr>
        <w:pStyle w:val="ListParagraph"/>
        <w:numPr>
          <w:ilvl w:val="0"/>
          <w:numId w:val="2"/>
        </w:numPr>
        <w:spacing w:after="60"/>
      </w:pPr>
      <w:r>
        <w:rPr>
          <w:b/>
          <w:bCs/>
        </w:rPr>
        <w:t xml:space="preserve">Correção feita no código</w:t>
      </w:r>
      <w:r>
        <w:t xml:space="preserve">: o que mudou e em qual seção do notebook.</w:t>
      </w:r>
    </w:p>
    <w:p>
      <w:pPr>
        <w:pStyle w:val="ListParagraph"/>
        <w:numPr>
          <w:ilvl w:val="0"/>
          <w:numId w:val="2"/>
        </w:numPr>
        <w:spacing w:after="60"/>
      </w:pPr>
      <w:r>
        <w:rPr>
          <w:b/>
          <w:bCs/>
        </w:rPr>
        <w:t xml:space="preserve">Onde encontrar o resultado</w:t>
      </w:r>
      <w:r>
        <w:t xml:space="preserve">: arquivo e aba em </w:t>
      </w:r>
      <w:r>
        <w:rPr>
          <w:rFonts w:ascii="Consolas" w:cs="Consolas" w:eastAsia="Consolas" w:hAnsi="Consolas"/>
          <w:sz w:val="19"/>
          <w:szCs w:val="19"/>
        </w:rPr>
        <w:t xml:space="preserve">resultados/third_review/</w:t>
      </w:r>
      <w:r>
        <w:t xml:space="preserve"> com o número a usar no artigo.</w:t>
      </w:r>
    </w:p>
    <w:p>
      <w:pPr>
        <w:pStyle w:val="ListParagraph"/>
        <w:numPr>
          <w:ilvl w:val="0"/>
          <w:numId w:val="2"/>
        </w:numPr>
        <w:spacing w:after="60"/>
      </w:pPr>
      <w:r>
        <w:rPr>
          <w:b/>
          <w:bCs/>
        </w:rPr>
        <w:t xml:space="preserve">Texto sugerido para o artigo</w:t>
      </w:r>
      <w:r>
        <w:t xml:space="preserve">: redação proposta. Traduzir para o inglês ao inserir no manuscrito.</w:t>
      </w:r>
    </w:p>
    <w:p>
      <w:pPr>
        <w:spacing w:after="120"/>
      </w:pPr>
      <w:r>
        <w:t xml:space="preserve">Notebooks:</w:t>
      </w:r>
    </w:p>
    <w:p>
      <w:pPr>
        <w:pStyle w:val="ListParagraph"/>
        <w:numPr>
          <w:ilvl w:val="0"/>
          <w:numId w:val="2"/>
        </w:numPr>
        <w:spacing w:after="60"/>
      </w:pPr>
      <w:r>
        <w:rPr>
          <w:b/>
          <w:bCs/>
        </w:rPr>
        <w:t xml:space="preserve">Notebook principal</w:t>
      </w:r>
      <w:r>
        <w:t xml:space="preserve">: </w:t>
      </w:r>
      <w:r>
        <w:rPr>
          <w:rFonts w:ascii="Consolas" w:cs="Consolas" w:eastAsia="Consolas" w:hAnsi="Consolas"/>
          <w:sz w:val="19"/>
          <w:szCs w:val="19"/>
        </w:rPr>
        <w:t xml:space="preserve">notebooks/acromegalia_uniao_medicamentos.ipynb</w:t>
      </w:r>
      <w:r>
        <w:t xml:space="preserve"> (pipeline completo, Figura 1, Figura 2 e Tabelas).</w:t>
      </w:r>
    </w:p>
    <w:p>
      <w:pPr>
        <w:pStyle w:val="ListParagraph"/>
        <w:numPr>
          <w:ilvl w:val="0"/>
          <w:numId w:val="2"/>
        </w:numPr>
        <w:spacing w:after="60"/>
      </w:pPr>
      <w:r>
        <w:rPr>
          <w:b/>
          <w:bCs/>
        </w:rPr>
        <w:t xml:space="preserve">Notebook de análise</w:t>
      </w:r>
      <w:r>
        <w:t xml:space="preserve">: </w:t>
      </w:r>
      <w:r>
        <w:rPr>
          <w:rFonts w:ascii="Consolas" w:cs="Consolas" w:eastAsia="Consolas" w:hAnsi="Consolas"/>
          <w:sz w:val="19"/>
          <w:szCs w:val="19"/>
        </w:rPr>
        <w:t xml:space="preserve">notebooks/acromegalia_analise_medicamentos.ipynb</w:t>
      </w:r>
      <w:r>
        <w:t xml:space="preserve"> (mesmas correções e os mapas por UF).</w:t>
      </w:r>
    </w:p>
    <w:p>
      <w:pPr>
        <w:spacing w:after="120"/>
      </w:pPr>
      <w:r>
        <w:t xml:space="preserve">Todos os arquivos de resultados têm o prefixo </w:t>
      </w:r>
      <w:r>
        <w:rPr>
          <w:rFonts w:ascii="Consolas" w:cs="Consolas" w:eastAsia="Consolas" w:hAnsi="Consolas"/>
          <w:sz w:val="19"/>
          <w:szCs w:val="19"/>
        </w:rPr>
        <w:t xml:space="preserve">20260907_data2024_</w:t>
      </w:r>
      <w:r>
        <w:t xml:space="preserve">. Por brevidade, ele é omitido nos nomes citados abaixo.</w:t>
      </w:r>
    </w:p>
    <w:p>
      <w:pPr>
        <w:spacing w:after="120"/>
      </w:pPr>
      <w:r>
        <w:t xml:space="preserve">Resumo da coorte corrigida: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tblHeader/>
        </w:trPr>
        <w:tc>
          <w:tcPr>
            <w:tcW w:type="dxa" w:w="4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Indicador</w:t>
            </w:r>
          </w:p>
        </w:tc>
        <w:tc>
          <w:tcPr>
            <w:tcW w:type="dxa" w:w="2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Versão anterior</w:t>
            </w:r>
          </w:p>
        </w:tc>
        <w:tc>
          <w:tcPr>
            <w:tcW w:type="dxa" w:w="2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Versão corrigida</w:t>
            </w:r>
          </w:p>
        </w:tc>
      </w:tr>
      <w:tr>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Pacientes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4.232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4.231</w:t>
            </w:r>
          </w:p>
        </w:tc>
      </w:tr>
      <w:tr>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Registros de dispensação em 2024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47.743 (inflado pelo join)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38.559</w:t>
            </w:r>
          </w:p>
        </w:tc>
      </w:tr>
      <w:tr>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Autorizações em 2024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19.053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18.831</w:t>
            </w:r>
          </w:p>
        </w:tc>
      </w:tr>
      <w:tr>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Registros excluídos sem identificador do paciente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434 (282 autorizações)</w:t>
            </w:r>
          </w:p>
        </w:tc>
      </w:tr>
      <w:tr>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Pacientes com residência ausente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468 (campo do PA)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 (campo do AM)</w:t>
            </w:r>
          </w:p>
        </w:tc>
      </w:tr>
      <w:tr>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Idade e raça/cor ausentes na Tabela 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468 (campos do PA)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 (campos do AM)</w:t>
            </w:r>
          </w:p>
        </w:tc>
      </w:tr>
      <w:tr>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Pacientes com combinação de princípios ativos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570 (só AP_PRIPAL)</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954 (AP_PRIPAL + mesma APAC)</w:t>
            </w:r>
          </w:p>
        </w:tc>
      </w:tr>
      <w:tr>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Taxa no Brasil (por milhão, pela residência)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19,83 (IC95% 19,24–20,44)</w:t>
            </w:r>
          </w:p>
        </w:tc>
      </w:tr>
    </w:tbl>
    <w:p>
      <w:pPr>
        <w:pageBreakBefore/>
        <w:spacing w:after="160"/>
      </w:pPr>
      <w:r>
        <w:rPr>
          <w:b/>
          <w:bCs/>
          <w:color w:val="1F3864"/>
          <w:sz w:val="30"/>
          <w:szCs w:val="30"/>
        </w:rPr>
        <w:t xml:space="preserve">Sumário</w:t>
      </w:r>
    </w:p>
    <w:sdt>
      <w:sdtPr>
        <w:alias w:val="Sumário"/>
      </w:sdtPr>
      <w:sdtContent>
        <w:p>
          <w:pPr>
            <w:pStyle w:val="TOC1"/>
            <w:tabs>
              <w:tab w:val="right" w:pos="9026" w:leader="dot"/>
            </w:tabs>
          </w:pPr>
          <w:r>
            <w:fldChar w:fldCharType="begin" w:dirty="true"/>
            <w:instrText xml:space="preserve">TOC \h \o "1-2"</w:instrText>
            <w:fldChar w:fldCharType="separate"/>
          </w:r>
          <w:hyperlink w:history="1" w:anchor="_Toc1">
            <w:r>
              <w:t xml:space="preserve">Como usar este documento</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Item 1 – Denominador da coorte em nível de paciente</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1a e 1b – Exclusão dos registros sem identificador do paciente</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1c – Exclusão explícita na Figura 1</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Item 2 – Definição diagnóstica de caso</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2a e 2b – Campos e códigos diagnósticos usados</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2c – Inclusões pelo diagnóstico secundário e pelo código E22</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2d – Atenuar a afirmação sobre erro de classificação</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Item 3 – Análise geográfica e informação de residência</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3a e 3b – Taxas pela residência do paciente</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3c e 3d – Residência ausente e comparação pareada</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3e – Revisão do Resumo, Resultados, Key Points, Plain Language Summary e Discussão</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Item 4 – Figura 2, legenda e código depositado</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4a e 4b – Cobertura de tratamento versus dispensação registrada</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4c e 4d – N, categoria NA, combinações e cores das faixas</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Item 5 – Ligação, deduplicação e dados ausentes ligados à ligação</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5a e 5b – Registros, autorizações, cardinalidade da ligação e deduplicação</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5c – Idade e raça/cor ausentes versus status de ligação</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5d – Afirmação sobre recuperar todas as dispensações</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Item 6 – Período dos dados, software e Resumo</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6a – Janela de extração e período do estudo</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6b – Descrição do software</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6c – Resumo: descrição da ligação</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6d – Resumo: nome das bases</w:t>
            </w:r>
            <w:r>
              <w:tab/>
            </w:r>
            <w:r>
              <w:fldChar w:fldCharType="begin" w:dirty="true"/>
              <w:instrText xml:space="preserve">PAGEREF _Toc24 \h</w:instrText>
              <w:fldChar w:fldCharType="separate"/>
              <w:fldChar w:fldCharType="end"/>
            </w:r>
          </w:hyperlink>
        </w:p>
        <w:p>
          <w:pPr>
            <w:pStyle w:val="TOC1"/>
            <w:tabs>
              <w:tab w:val="right" w:pos="9026" w:leader="dot"/>
            </w:tabs>
          </w:pPr>
          <w:hyperlink w:history="1" w:anchor="_Toc25">
            <w:r>
              <w:t xml:space="preserve">Item 7 – Inconsistências internas restantes</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7a – Denominador dos percentuais de idade</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7b – Rótulo "&gt;80"</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7c – Total da Tabela 4 e categorias mutuamente exclusivas</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7d – Definição da população do estudo</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7e – Medidas de tendência central e dispersão</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7f – Nome do Componente Especializado</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7g – Resolução 466/2012</w:t>
            </w:r>
            <w:r>
              <w:tab/>
            </w:r>
            <w:r>
              <w:fldChar w:fldCharType="begin" w:dirty="true"/>
              <w:instrText xml:space="preserve">PAGEREF _Toc32 \h</w:instrText>
              <w:fldChar w:fldCharType="separate"/>
              <w:fldChar w:fldCharType="end"/>
            </w:r>
          </w:hyperlink>
        </w:p>
        <w:p>
          <w:pPr>
            <w:pStyle w:val="TOC1"/>
            <w:tabs>
              <w:tab w:val="right" w:pos="9026" w:leader="dot"/>
            </w:tabs>
          </w:pPr>
          <w:hyperlink w:history="1" w:anchor="_Toc33">
            <w:r>
              <w:t xml:space="preserve">Item 8 – Relato, referências e acessibilidade</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8a – Lista completa dos códigos SIGTAP</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8b – Checklist RECORD</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8c – Parâmetros utm_source nas referências</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8d – Texto alternativo das figuras</w:t>
            </w:r>
            <w:r>
              <w:tab/>
            </w:r>
            <w:r>
              <w:fldChar w:fldCharType="begin" w:dirty="true"/>
              <w:instrText xml:space="preserve">PAGEREF _Toc37 \h</w:instrText>
              <w:fldChar w:fldCharType="separate"/>
              <w:fldChar w:fldCharType="end"/>
            </w:r>
          </w:hyperlink>
        </w:p>
        <w:p>
          <w:pPr>
            <w:pStyle w:val="TOC1"/>
            <w:tabs>
              <w:tab w:val="right" w:pos="9026" w:leader="dot"/>
            </w:tabs>
          </w:pPr>
          <w:hyperlink w:history="1" w:anchor="_Toc38">
            <w:r>
              <w:t xml:space="preserve">Correções adicionais (não pedidas pela revisão)</w:t>
            </w:r>
            <w:r>
              <w:tab/>
            </w:r>
            <w:r>
              <w:fldChar w:fldCharType="begin" w:dirty="true"/>
              <w:instrText xml:space="preserve">PAGEREF _Toc38 \h</w:instrText>
              <w:fldChar w:fldCharType="separate"/>
              <w:fldChar w:fldCharType="end"/>
            </w:r>
          </w:hyperlink>
        </w:p>
        <w:p>
          <w:pPr>
            <w:pStyle w:val="TOC2"/>
            <w:tabs>
              <w:tab w:val="right" w:pos="9026" w:leader="dot"/>
            </w:tabs>
            <w:ind w:left="220"/>
          </w:pPr>
          <w:hyperlink w:history="1" w:anchor="_Toc39">
            <w:r>
              <w:t xml:space="preserve">A – Código E22 na CID-10</w:t>
            </w:r>
            <w:r>
              <w:tab/>
            </w:r>
            <w:r>
              <w:fldChar w:fldCharType="begin" w:dirty="true"/>
              <w:instrText xml:space="preserve">PAGEREF _Toc39 \h</w:instrText>
              <w:fldChar w:fldCharType="separate"/>
              <w:fldChar w:fldCharType="end"/>
            </w:r>
          </w:hyperlink>
        </w:p>
        <w:p>
          <w:pPr>
            <w:pStyle w:val="TOC2"/>
            <w:tabs>
              <w:tab w:val="right" w:pos="9026" w:leader="dot"/>
            </w:tabs>
            <w:ind w:left="220"/>
          </w:pPr>
          <w:hyperlink w:history="1" w:anchor="_Toc40">
            <w:r>
              <w:t xml:space="preserve">B – Idade e raça/cor da Tabela 1 a partir do AM</w:t>
            </w:r>
            <w:r>
              <w:tab/>
            </w:r>
            <w:r>
              <w:fldChar w:fldCharType="begin" w:dirty="true"/>
              <w:instrText xml:space="preserve">PAGEREF _Toc40 \h</w:instrText>
              <w:fldChar w:fldCharType="separate"/>
              <w:fldChar w:fldCharType="end"/>
            </w:r>
          </w:hyperlink>
        </w:p>
        <w:p>
          <w:pPr>
            <w:pStyle w:val="TOC2"/>
            <w:tabs>
              <w:tab w:val="right" w:pos="9026" w:leader="dot"/>
            </w:tabs>
            <w:ind w:left="220"/>
          </w:pPr>
          <w:hyperlink w:history="1" w:anchor="_Toc41">
            <w:r>
              <w:t xml:space="preserve">C – Medicamentos dispensados na mesma APAC</w:t>
            </w:r>
            <w:r>
              <w:tab/>
            </w:r>
            <w:r>
              <w:fldChar w:fldCharType="begin" w:dirty="true"/>
              <w:instrText xml:space="preserve">PAGEREF _Toc41 \h</w:instrText>
              <w:fldChar w:fldCharType="separate"/>
              <w:fldChar w:fldCharType="end"/>
            </w:r>
          </w:hyperlink>
        </w:p>
        <w:p>
          <w:pPr>
            <w:pStyle w:val="TOC2"/>
            <w:tabs>
              <w:tab w:val="right" w:pos="9026" w:leader="dot"/>
            </w:tabs>
            <w:ind w:left="220"/>
          </w:pPr>
          <w:hyperlink w:history="1" w:anchor="_Toc42">
            <w:r>
              <w:t xml:space="preserve">D – Doses e valores por medicamento</w:t>
            </w:r>
            <w:r>
              <w:tab/>
            </w:r>
            <w:r>
              <w:fldChar w:fldCharType="begin" w:dirty="true"/>
              <w:instrText xml:space="preserve">PAGEREF _Toc42 \h</w:instrText>
              <w:fldChar w:fldCharType="separate"/>
              <w:fldChar w:fldCharType="end"/>
            </w:r>
          </w:hyperlink>
        </w:p>
        <w:p>
          <w:pPr>
            <w:pStyle w:val="TOC2"/>
            <w:tabs>
              <w:tab w:val="right" w:pos="9026" w:leader="dot"/>
            </w:tabs>
            <w:ind w:left="220"/>
          </w:pPr>
          <w:hyperlink w:history="1" w:anchor="_Toc43">
            <w:r>
              <w:t xml:space="preserve">E – Códigos de raça/cor no notebook de análise</w:t>
            </w:r>
            <w:r>
              <w:tab/>
            </w:r>
            <w:r>
              <w:fldChar w:fldCharType="begin" w:dirty="true"/>
              <w:instrText xml:space="preserve">PAGEREF _Toc43 \h</w:instrText>
              <w:fldChar w:fldCharType="separate"/>
              <w:fldChar w:fldCharType="end"/>
            </w:r>
          </w:hyperlink>
        </w:p>
        <w:p>
          <w:r>
            <w:fldChar w:fldCharType="end"/>
          </w:r>
        </w:p>
      </w:sdtContent>
    </w:sdt>
    <w:p>
      <w:pPr>
        <w:pStyle w:val="Heading1"/>
        <w:pageBreakBefore/>
      </w:pPr>
      <w:bookmarkStart w:name="_Toc2" w:id="2"/>
      <w:r>
        <w:t xml:space="preserve">Item 1 – Denominador da coorte em nível de paciente</w:t>
      </w:r>
      <w:bookmarkEnd w:id="2"/>
    </w:p>
    <w:p>
      <w:pPr>
        <w:pStyle w:val="Heading2"/>
      </w:pPr>
      <w:bookmarkStart w:name="_Toc3" w:id="3"/>
      <w:r>
        <w:t xml:space="preserve">1a e 1b – Exclusão dos registros sem identificador do paciente</w:t>
      </w:r>
      <w:bookmarkEnd w:id="3"/>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1a. O notebook depositado relata 282 autorizações sem identificador do paciente. No entanto, n_distinct(AP_CNSPCN) conta o valor ausente como uma categoria distinta, e group_by(AP_CNSPCN) %&gt;% slice(1) junta todos os identificadores ausentes em um único "paciente" artificial. Isso produz o total relatado de 4.232, enquanto as análises que excluem identificadores ausentes relatam 4.231 pacientes.</w:t>
            </w:r>
          </w:p>
          <w:p>
            <w:pPr>
              <w:spacing w:after="120"/>
            </w:pPr>
            <w:r>
              <w:rPr>
                <w:i/>
                <w:iCs/>
              </w:rPr>
              <w:t xml:space="preserve">1b. Registros sem identificador válido não podem ser deduplicados em indivíduos. Excluí-los de todas as análises em nível de paciente, relatar o número de registros e autorizações excluídos e atualizar todas as tabelas, taxas, intervalos de confiança, figuras, resultados do Resumo, Key Points e Plain Language Summary.</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Nova seção </w:t>
      </w:r>
      <w:r>
        <w:rPr>
          <w:b/>
          <w:bCs/>
        </w:rPr>
        <w:t xml:space="preserve">4.1 – Exclusão de registros sem identificador válido do paciente</w:t>
      </w:r>
      <w:r>
        <w:t xml:space="preserve"> nos dois notebooks. Logo após o filtro de 2024, os registros com </w:t>
      </w:r>
      <w:r>
        <w:rPr>
          <w:rFonts w:ascii="Consolas" w:cs="Consolas" w:eastAsia="Consolas" w:hAnsi="Consolas"/>
          <w:sz w:val="19"/>
          <w:szCs w:val="19"/>
        </w:rPr>
        <w:t xml:space="preserve">AP_CNSPCN</w:t>
      </w:r>
      <w:r>
        <w:t xml:space="preserve"> ausente são removidos e a base completa de 2024 é guardada em </w:t>
      </w:r>
      <w:r>
        <w:rPr>
          <w:rFonts w:ascii="Consolas" w:cs="Consolas" w:eastAsia="Consolas" w:hAnsi="Consolas"/>
          <w:sz w:val="19"/>
          <w:szCs w:val="19"/>
        </w:rPr>
        <w:t xml:space="preserve">dados_2024_todos</w:t>
      </w:r>
      <w:r>
        <w:t xml:space="preserve"> para o fluxograma.</w:t>
      </w:r>
    </w:p>
    <w:p>
      <w:pPr>
        <w:pStyle w:val="ListParagraph"/>
        <w:numPr>
          <w:ilvl w:val="0"/>
          <w:numId w:val="2"/>
        </w:numPr>
        <w:spacing w:after="60"/>
      </w:pPr>
      <w:r>
        <w:t xml:space="preserve">Seção </w:t>
      </w:r>
      <w:r>
        <w:rPr>
          <w:b/>
          <w:bCs/>
        </w:rPr>
        <w:t xml:space="preserve">6</w:t>
      </w:r>
      <w:r>
        <w:t xml:space="preserve"> (pacientes únicos): a checagem fixa "deve ter 4232 linhas" foi trocada por uma validação automática de uma linha por paciente, sem CNS ausente.</w:t>
      </w:r>
    </w:p>
    <w:p>
      <w:pPr>
        <w:pStyle w:val="ListParagraph"/>
        <w:numPr>
          <w:ilvl w:val="0"/>
          <w:numId w:val="2"/>
        </w:numPr>
        <w:spacing w:after="60"/>
      </w:pPr>
      <w:r>
        <w:t xml:space="preserve">Todas as tabelas e figuras seguintes passam a usar apenas a coorte com CNS válido.</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exclusion_missing_patient_id.xlsx</w:t>
      </w:r>
      <w:r>
        <w:t xml:space="preserve">: 434 registros e 282 autorizações excluídos (222 autorizações excluídas por completo); coorte final de 38.559 registros, 18.831 autorizações e 4.231 pacientes.</w:t>
      </w:r>
    </w:p>
    <w:p>
      <w:pPr>
        <w:pStyle w:val="ListParagraph"/>
        <w:numPr>
          <w:ilvl w:val="0"/>
          <w:numId w:val="2"/>
        </w:numPr>
        <w:spacing w:after="60"/>
      </w:pPr>
      <w:r>
        <w:t xml:space="preserve">Tabelas atualizadas: </w:t>
      </w:r>
      <w:r>
        <w:rPr>
          <w:rFonts w:ascii="Consolas" w:cs="Consolas" w:eastAsia="Consolas" w:hAnsi="Consolas"/>
          <w:sz w:val="19"/>
          <w:szCs w:val="19"/>
        </w:rPr>
        <w:t xml:space="preserve">sex.xlsx</w:t>
      </w:r>
      <w:r>
        <w:t xml:space="preserve">, </w:t>
      </w:r>
      <w:r>
        <w:rPr>
          <w:rFonts w:ascii="Consolas" w:cs="Consolas" w:eastAsia="Consolas" w:hAnsi="Consolas"/>
          <w:sz w:val="19"/>
          <w:szCs w:val="19"/>
        </w:rPr>
        <w:t xml:space="preserve">age.xlsx</w:t>
      </w:r>
      <w:r>
        <w:t xml:space="preserve">, </w:t>
      </w:r>
      <w:r>
        <w:rPr>
          <w:rFonts w:ascii="Consolas" w:cs="Consolas" w:eastAsia="Consolas" w:hAnsi="Consolas"/>
          <w:sz w:val="19"/>
          <w:szCs w:val="19"/>
        </w:rPr>
        <w:t xml:space="preserve">race_colour.xlsx</w:t>
      </w:r>
      <w:r>
        <w:t xml:space="preserve">, </w:t>
      </w:r>
      <w:r>
        <w:rPr>
          <w:rFonts w:ascii="Consolas" w:cs="Consolas" w:eastAsia="Consolas" w:hAnsi="Consolas"/>
          <w:sz w:val="19"/>
          <w:szCs w:val="19"/>
        </w:rPr>
        <w:t xml:space="preserve">state_dispensing_facility.xlsx</w:t>
      </w:r>
      <w:r>
        <w:t xml:space="preserve">, </w:t>
      </w:r>
      <w:r>
        <w:rPr>
          <w:rFonts w:ascii="Consolas" w:cs="Consolas" w:eastAsia="Consolas" w:hAnsi="Consolas"/>
          <w:sz w:val="19"/>
          <w:szCs w:val="19"/>
        </w:rPr>
        <w:t xml:space="preserve">region_dispensing_facility.xlsx</w:t>
      </w:r>
      <w:r>
        <w:t xml:space="preserve">, </w:t>
      </w:r>
      <w:r>
        <w:rPr>
          <w:rFonts w:ascii="Consolas" w:cs="Consolas" w:eastAsia="Consolas" w:hAnsi="Consolas"/>
          <w:sz w:val="19"/>
          <w:szCs w:val="19"/>
        </w:rPr>
        <w:t xml:space="preserve">geography_residence_rates.xlsx</w:t>
      </w:r>
      <w:r>
        <w:t xml:space="preserve">, </w:t>
      </w:r>
      <w:r>
        <w:rPr>
          <w:rFonts w:ascii="Consolas" w:cs="Consolas" w:eastAsia="Consolas" w:hAnsi="Consolas"/>
          <w:sz w:val="19"/>
          <w:szCs w:val="19"/>
        </w:rPr>
        <w:t xml:space="preserve">medication_combinations.xlsx</w:t>
      </w:r>
      <w:r>
        <w:t xml:space="preserve">, </w:t>
      </w:r>
      <w:r>
        <w:rPr>
          <w:rFonts w:ascii="Consolas" w:cs="Consolas" w:eastAsia="Consolas" w:hAnsi="Consolas"/>
          <w:sz w:val="19"/>
          <w:szCs w:val="19"/>
        </w:rPr>
        <w:t xml:space="preserve">most_recent_medication.xlsx</w:t>
      </w:r>
      <w:r>
        <w:t xml:space="preserve">, </w:t>
      </w:r>
      <w:r>
        <w:rPr>
          <w:rFonts w:ascii="Consolas" w:cs="Consolas" w:eastAsia="Consolas" w:hAnsi="Consolas"/>
          <w:sz w:val="19"/>
          <w:szCs w:val="19"/>
        </w:rPr>
        <w:t xml:space="preserve">table4_medication_categories.xlsx</w:t>
      </w:r>
      <w:r>
        <w:t xml:space="preserve">, </w:t>
      </w:r>
      <w:r>
        <w:rPr>
          <w:rFonts w:ascii="Consolas" w:cs="Consolas" w:eastAsia="Consolas" w:hAnsi="Consolas"/>
          <w:sz w:val="19"/>
          <w:szCs w:val="19"/>
        </w:rPr>
        <w:t xml:space="preserve">medication_spending.xlsx</w:t>
      </w:r>
      <w:r>
        <w:t xml:space="preserve">.</w:t>
      </w:r>
    </w:p>
    <w:p>
      <w:pPr>
        <w:pStyle w:val="ListParagraph"/>
        <w:numPr>
          <w:ilvl w:val="0"/>
          <w:numId w:val="2"/>
        </w:numPr>
        <w:spacing w:after="60"/>
      </w:pPr>
      <w:r>
        <w:t xml:space="preserve">Valores que mudaram com a exclusão: total 4.232 → 4.231; sexo masculino 1.631 → 1.630; Centro-Oeste (estabelecimento) 270 → 269. Os percentuais foram recalculados. Idade e raça/cor passaram a vir do AM (ver item 5c).</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Métodos: "Registros sem identificador criptografado válido do paciente não puderam ser deduplicados em indivíduos e foram excluídos de todas as análises em nível de paciente (434 registros de dispensação, de 282 autorizações)."</w:t>
            </w:r>
          </w:p>
          <w:p>
            <w:pPr>
              <w:spacing w:after="120"/>
            </w:pPr>
            <w:r>
              <w:t xml:space="preserve">Resultados, Resumo, Key Points e Plain Language Summary: substituir 4.232 por 4.231 pacientes.</w:t>
            </w:r>
          </w:p>
        </w:tc>
      </w:tr>
    </w:tbl>
    <w:p>
      <w:pPr>
        <w:spacing w:after="60"/>
      </w:pPr>
    </w:p>
    <w:p>
      <w:pPr>
        <w:pStyle w:val="Heading2"/>
      </w:pPr>
      <w:bookmarkStart w:name="_Toc4" w:id="4"/>
      <w:r>
        <w:t xml:space="preserve">1c – Exclusão explícita na Figura 1</w:t>
      </w:r>
      <w:bookmarkEnd w:id="4"/>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A Figura 1 deve mostrar explicitamente a exclusão dos registros sem identificador válido do paciente. O efeito numérico pode ser pequeno, mas a coorte deve ser construída de forma consistente.</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Seção </w:t>
      </w:r>
      <w:r>
        <w:rPr>
          <w:b/>
          <w:bCs/>
        </w:rPr>
        <w:t xml:space="preserve">9 – Fluxograma</w:t>
      </w:r>
      <w:r>
        <w:t xml:space="preserve"> do notebook principal refeita. Agora há uma caixa de exclusão "no valid patient identifier (AP_CNSPCN): 434 records, 282 authorizations" entre o filtro de 2024 e a coorte final.</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figure1_flowchart_data_linkage.png</w:t>
      </w:r>
      <w:r>
        <w:t xml:space="preserve">: nova Figura 1.</w:t>
      </w:r>
    </w:p>
    <w:p>
      <w:pPr>
        <w:pStyle w:val="ListParagraph"/>
        <w:numPr>
          <w:ilvl w:val="0"/>
          <w:numId w:val="2"/>
        </w:numPr>
        <w:spacing w:after="60"/>
      </w:pPr>
      <w:r>
        <w:rPr>
          <w:rFonts w:ascii="Consolas" w:cs="Consolas" w:eastAsia="Consolas" w:hAnsi="Consolas"/>
          <w:sz w:val="19"/>
          <w:szCs w:val="19"/>
        </w:rPr>
        <w:t xml:space="preserve">figure1_flowchart_data_linkage.xlsx</w:t>
      </w:r>
      <w:r>
        <w:t xml:space="preserve">: os números de cada etapa (linhas 5a a 6d).</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Substituir a Figura 1 pelo arquivo </w:t>
            </w:r>
            <w:r>
              <w:rPr>
                <w:rFonts w:ascii="Consolas" w:cs="Consolas" w:eastAsia="Consolas" w:hAnsi="Consolas"/>
                <w:sz w:val="19"/>
                <w:szCs w:val="19"/>
              </w:rPr>
              <w:t xml:space="preserve">figure1_flowchart_data_linkage.png</w:t>
            </w:r>
            <w:r>
              <w:t xml:space="preserve">.</w:t>
            </w:r>
          </w:p>
        </w:tc>
      </w:tr>
    </w:tbl>
    <w:p>
      <w:pPr>
        <w:spacing w:after="60"/>
      </w:pPr>
    </w:p>
    <w:p>
      <w:pPr>
        <w:pStyle w:val="Heading1"/>
        <w:pageBreakBefore/>
      </w:pPr>
      <w:bookmarkStart w:name="_Toc5" w:id="5"/>
      <w:r>
        <w:t xml:space="preserve">Item 2 – Definição diagnóstica de caso</w:t>
      </w:r>
      <w:bookmarkEnd w:id="5"/>
    </w:p>
    <w:p>
      <w:pPr>
        <w:pStyle w:val="Heading2"/>
      </w:pPr>
      <w:bookmarkStart w:name="_Toc6" w:id="6"/>
      <w:r>
        <w:t xml:space="preserve">2a e 2b – Campos e códigos diagnósticos usados</w:t>
      </w:r>
      <w:bookmarkEnd w:id="6"/>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2a. O manuscrito afirma que os pacientes foram identificados pelo código CID-10 E22.0. O script de download, porém, seleciona E22 ou E220 em AP_CIDPRI ou AP_CIDSEC.</w:t>
            </w:r>
          </w:p>
          <w:p>
            <w:pPr>
              <w:spacing w:after="120"/>
            </w:pPr>
            <w:r>
              <w:rPr>
                <w:i/>
                <w:iCs/>
              </w:rPr>
              <w:t xml:space="preserve">2b. Informar exatamente os campos e códigos diagnósticos usados e se a inclusão exigia, adicionalmente, um dos códigos de procedimento de medicamento especificados.</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A definição de caso </w:t>
      </w:r>
      <w:r>
        <w:rPr>
          <w:b/>
          <w:bCs/>
        </w:rPr>
        <w:t xml:space="preserve">não foi alterada</w:t>
      </w:r>
      <w:r>
        <w:t xml:space="preserve">. Os scripts de download continuam selecionando registros com </w:t>
      </w:r>
      <w:r>
        <w:rPr>
          <w:rFonts w:ascii="Consolas" w:cs="Consolas" w:eastAsia="Consolas" w:hAnsi="Consolas"/>
          <w:sz w:val="19"/>
          <w:szCs w:val="19"/>
        </w:rPr>
        <w:t xml:space="preserve">AP_CIDPRI</w:t>
      </w:r>
      <w:r>
        <w:t xml:space="preserve"> ou </w:t>
      </w:r>
      <w:r>
        <w:rPr>
          <w:rFonts w:ascii="Consolas" w:cs="Consolas" w:eastAsia="Consolas" w:hAnsi="Consolas"/>
          <w:sz w:val="19"/>
          <w:szCs w:val="19"/>
        </w:rPr>
        <w:t xml:space="preserve">AP_CIDSEC</w:t>
      </w:r>
      <w:r>
        <w:t xml:space="preserve"> exatamente iguais a </w:t>
      </w:r>
      <w:r>
        <w:rPr>
          <w:rFonts w:ascii="Consolas" w:cs="Consolas" w:eastAsia="Consolas" w:hAnsi="Consolas"/>
          <w:sz w:val="19"/>
          <w:szCs w:val="19"/>
        </w:rPr>
        <w:t xml:space="preserve">E22</w:t>
      </w:r>
      <w:r>
        <w:t xml:space="preserve"> ou </w:t>
      </w:r>
      <w:r>
        <w:rPr>
          <w:rFonts w:ascii="Consolas" w:cs="Consolas" w:eastAsia="Consolas" w:hAnsi="Consolas"/>
          <w:sz w:val="19"/>
          <w:szCs w:val="19"/>
        </w:rPr>
        <w:t xml:space="preserve">E220</w:t>
      </w:r>
      <w:r>
        <w:t xml:space="preserve"> (comparação exata, sem busca por substring).</w:t>
      </w:r>
    </w:p>
    <w:p>
      <w:pPr>
        <w:pStyle w:val="ListParagraph"/>
        <w:numPr>
          <w:ilvl w:val="0"/>
          <w:numId w:val="2"/>
        </w:numPr>
        <w:spacing w:after="60"/>
      </w:pPr>
      <w:r>
        <w:t xml:space="preserve">Nova seção </w:t>
      </w:r>
      <w:r>
        <w:rPr>
          <w:b/>
          <w:bCs/>
        </w:rPr>
        <w:t xml:space="preserve">5.2 – Definição de caso diagnóstica</w:t>
      </w:r>
      <w:r>
        <w:t xml:space="preserve"> nos dois notebooks, que documenta a regra e conta os registros por combinação de CID principal e secundário.</w:t>
      </w:r>
    </w:p>
    <w:p>
      <w:pPr>
        <w:pStyle w:val="ListParagraph"/>
        <w:numPr>
          <w:ilvl w:val="0"/>
          <w:numId w:val="2"/>
        </w:numPr>
        <w:spacing w:after="60"/>
      </w:pPr>
      <w:r>
        <w:t xml:space="preserve">Verificado no código (</w:t>
      </w:r>
      <w:r>
        <w:rPr>
          <w:rFonts w:ascii="Consolas" w:cs="Consolas" w:eastAsia="Consolas" w:hAnsi="Consolas"/>
          <w:sz w:val="19"/>
          <w:szCs w:val="19"/>
        </w:rPr>
        <w:t xml:space="preserve">stopifnot</w:t>
      </w:r>
      <w:r>
        <w:t xml:space="preserve"> na seção 7.1): todos os registros selecionados têm um dos 8 códigos SIGTAP como procedimento principal. Não houve filtro adicional por procedimento.</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case_definition_icd.xlsx</w:t>
      </w:r>
      <w:r>
        <w:t xml:space="preserve">, aba </w:t>
      </w:r>
      <w:r>
        <w:rPr>
          <w:rFonts w:ascii="Consolas" w:cs="Consolas" w:eastAsia="Consolas" w:hAnsi="Consolas"/>
          <w:sz w:val="19"/>
          <w:szCs w:val="19"/>
        </w:rPr>
        <w:t xml:space="preserve">records_by_icd</w:t>
      </w:r>
      <w:r>
        <w:t xml:space="preserve">: 38.527 registros com principal E220 e secundário vazio; 12 com principal E220 e secundário E232; 12 com principal E221 e secundário E220; 8 com E220 nos dois campos.</w:t>
      </w:r>
    </w:p>
    <w:p>
      <w:pPr>
        <w:pStyle w:val="ListParagraph"/>
        <w:numPr>
          <w:ilvl w:val="0"/>
          <w:numId w:val="2"/>
        </w:numPr>
        <w:spacing w:after="60"/>
      </w:pPr>
      <w:r>
        <w:t xml:space="preserve">Nenhum registro do AM traz o código E22 de três caracteres. Ele aparece apenas em 933 linhas do PA, que não foi usado para selecionar pacientes.</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Métodos: "Os pacientes foram identificados no arquivo APAC Medicamentos pela correspondência exata do diagnóstico principal (AP_CIDPRI) ou secundário (AP_CIDSEC) com o código CID-10 de acromegalia, E22.0 (registrado no SIASUS como E220), ou com o código de três caracteres E22 (comparação exata de texto, e não busca por parte do código). Na CID-10, E22 é a categoria "Hiperfunção da hipófise" (E22.0 a E22.9); ele foi incluído apenas para captar registros de acromegalia lançados sem o quarto caractere. Subcategorias como E221 (hiperprolactinemia) não foram selecionadas, pois exigiriam uma busca com esses códigos exatos. Nenhum registro do APAC Medicamentos trazia o código E22, e todos os pacientes foram selecionados pelo código E220. Não foi aplicado filtro adicional por código de procedimento; todos os registros selecionados tinham como procedimento principal um dos oito códigos de medicamento do SIGTAP listados na Tabela Suplementar S1."</w:t>
            </w:r>
          </w:p>
        </w:tc>
      </w:tr>
    </w:tbl>
    <w:p>
      <w:pPr>
        <w:spacing w:after="60"/>
      </w:pPr>
    </w:p>
    <w:p>
      <w:pPr>
        <w:pStyle w:val="Heading2"/>
      </w:pPr>
      <w:bookmarkStart w:name="_Toc7" w:id="7"/>
      <w:r>
        <w:t xml:space="preserve">2c – Inclusões pelo diagnóstico secundário e pelo código E22</w:t>
      </w:r>
      <w:bookmarkEnd w:id="7"/>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Informar quantos pacientes foram incluídos apenas porque E22.0/E220 apareceu como diagnóstico secundário e quantos foram incluídos apenas pelo código de três caracteres E22. Para validar a definição de caso, mostrar se restringir a coorte ao diagnóstico principal E220 altera materialmente o número de pacientes e a distribuição de medicamentos. Isso é especialmente relevante porque a cabergolina, o maior grupo de medicamentos, tem outras indicações além da acromegalia.</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Seção </w:t>
      </w:r>
      <w:r>
        <w:rPr>
          <w:b/>
          <w:bCs/>
        </w:rPr>
        <w:t xml:space="preserve">5.2</w:t>
      </w:r>
      <w:r>
        <w:t xml:space="preserve">: classifica cada paciente pela via de inclusão e compara a coorte completa com a coorte restrita a </w:t>
      </w:r>
      <w:r>
        <w:rPr>
          <w:rFonts w:ascii="Consolas" w:cs="Consolas" w:eastAsia="Consolas" w:hAnsi="Consolas"/>
          <w:sz w:val="19"/>
          <w:szCs w:val="19"/>
        </w:rPr>
        <w:t xml:space="preserve">AP_CIDPRI == "E220"</w:t>
      </w:r>
      <w:r>
        <w:t xml:space="preserve">, por princípio ativo.</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case_definition_icd.xlsx</w:t>
      </w:r>
      <w:r>
        <w:t xml:space="preserve">, aba </w:t>
      </w:r>
      <w:r>
        <w:rPr>
          <w:rFonts w:ascii="Consolas" w:cs="Consolas" w:eastAsia="Consolas" w:hAnsi="Consolas"/>
          <w:sz w:val="19"/>
          <w:szCs w:val="19"/>
        </w:rPr>
        <w:t xml:space="preserve">inclusion_route</w:t>
      </w:r>
      <w:r>
        <w:t xml:space="preserve">: os números da tabela abaixo.</w:t>
      </w:r>
    </w:p>
    <w:p>
      <w:pPr>
        <w:pStyle w:val="ListParagraph"/>
        <w:numPr>
          <w:ilvl w:val="0"/>
          <w:numId w:val="2"/>
        </w:numPr>
        <w:spacing w:after="60"/>
      </w:pPr>
      <w:r>
        <w:t xml:space="preserve">Aba </w:t>
      </w:r>
      <w:r>
        <w:rPr>
          <w:rFonts w:ascii="Consolas" w:cs="Consolas" w:eastAsia="Consolas" w:hAnsi="Consolas"/>
          <w:sz w:val="19"/>
          <w:szCs w:val="19"/>
        </w:rPr>
        <w:t xml:space="preserve">secondary_diagnosis_only</w:t>
      </w:r>
      <w:r>
        <w:t xml:space="preserve">: o único paciente incluído pelo diagnóstico secundário tinha E221 como principal e E220 como secundário, nos 12 registros (cabergolina). Ele entrou pela correspondência exata com E220, e não pelo E221.</w:t>
      </w:r>
    </w:p>
    <w:p>
      <w:pPr>
        <w:pStyle w:val="ListParagraph"/>
        <w:numPr>
          <w:ilvl w:val="0"/>
          <w:numId w:val="2"/>
        </w:numPr>
        <w:spacing w:after="60"/>
      </w:pPr>
      <w:r>
        <w:t xml:space="preserve">Aba </w:t>
      </w:r>
      <w:r>
        <w:rPr>
          <w:rFonts w:ascii="Consolas" w:cs="Consolas" w:eastAsia="Consolas" w:hAnsi="Consolas"/>
          <w:sz w:val="19"/>
          <w:szCs w:val="19"/>
        </w:rPr>
        <w:t xml:space="preserve">cohort_vs_primary_E220</w:t>
      </w:r>
      <w:r>
        <w:t xml:space="preserve">: comparação por medicamento.</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Indicador</w:t>
            </w:r>
          </w:p>
        </w:tc>
        <w:tc>
          <w:tcPr>
            <w:tcW w:type="dxa" w:w="2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Pacientes</w:t>
            </w:r>
          </w:p>
        </w:tc>
      </w:tr>
      <w:tr>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Coorte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4.231</w:t>
            </w:r>
          </w:p>
        </w:tc>
      </w:tr>
      <w:tr>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Com E22/E220 como diagnóstico principal em algum registro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4.230</w:t>
            </w:r>
          </w:p>
        </w:tc>
      </w:tr>
      <w:tr>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Incluídos apenas pelo diagnóstico secundário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w:t>
            </w:r>
          </w:p>
        </w:tc>
      </w:tr>
      <w:tr>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Incluídos apenas pelo código E22 (três caracteres)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w:t>
            </w:r>
          </w:p>
        </w:tc>
      </w:tr>
      <w:tr>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Coorte restrita ao diagnóstico principal E220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4.230</w:t>
            </w:r>
          </w:p>
        </w:tc>
      </w:tr>
      <w:tr>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Cabergolina: coorte completa → restrita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2.021 → 2.020</w:t>
            </w:r>
          </w:p>
        </w:tc>
      </w:tr>
      <w:tr>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Lanreotida: coorte completa → restrita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1.120 → 1.120</w:t>
            </w:r>
          </w:p>
        </w:tc>
      </w:tr>
      <w:tr>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Octreotida: coorte completa → restrita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1.674 → 1.674</w:t>
            </w:r>
          </w:p>
        </w:tc>
      </w:tr>
    </w:tbl>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Resultados ou Material Suplementar: "Em 2024, 4.230 dos 4.231 pacientes tinham E220 como diagnóstico principal. Um paciente foi incluído apenas pelo diagnóstico secundário, e nenhum paciente foi incluído pelo código de três caracteres E22. Restringir a coorte ao diagnóstico principal E220 reduziu o total em um paciente (cabergolina), sem alterar os números de octreotida e lanreotida."</w:t>
            </w:r>
          </w:p>
        </w:tc>
      </w:tr>
    </w:tbl>
    <w:p>
      <w:pPr>
        <w:spacing w:after="60"/>
      </w:pPr>
    </w:p>
    <w:p>
      <w:pPr>
        <w:pStyle w:val="Heading2"/>
      </w:pPr>
      <w:bookmarkStart w:name="_Toc8" w:id="8"/>
      <w:r>
        <w:t xml:space="preserve">2d – Atenuar a afirmação sobre erro de classificação</w:t>
      </w:r>
      <w:bookmarkEnd w:id="8"/>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Na ausência de um estudo de validação, a afirmação de que o erro de classificação diagnóstica ou de medicamento "deve ser mínimo" é definitiva demais. Atenuá-la e reconhecer a incerteza decorrente do uso de E22/E220 e de diagnósticos secundários.</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Nenhuma alteração de código necessária: o ajuste é apenas no texto do manuscrito.</w:t>
      </w:r>
    </w:p>
    <w:p>
      <w:pPr>
        <w:spacing w:after="80" w:before="200"/>
      </w:pPr>
      <w:r>
        <w:rPr>
          <w:b/>
          <w:bCs/>
          <w:color w:val="1F4E79"/>
          <w:sz w:val="22"/>
          <w:szCs w:val="22"/>
        </w:rPr>
        <w:t xml:space="preserve">Onde encontrar o resultado</w:t>
      </w:r>
    </w:p>
    <w:p>
      <w:pPr>
        <w:pStyle w:val="ListParagraph"/>
        <w:numPr>
          <w:ilvl w:val="0"/>
          <w:numId w:val="2"/>
        </w:numPr>
        <w:spacing w:after="60"/>
      </w:pPr>
      <w:r>
        <w:t xml:space="preserve">Os números do item 2c sustentam o texto.</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Limitações (substitui "deve ser mínimo"): "Não há estudo de validação dos códigos diagnósticos no SIASUS. Embora restringir a coorte ao diagnóstico principal E220 tenha alterado o total em apenas um paciente, não se pode excluir erro de classificação. Em particular, a cabergolina também é indicada para outras doenças hipofisárias, e a acurácia dos diagnósticos registrados para fins de faturamento é desconhecida."</w:t>
            </w:r>
          </w:p>
        </w:tc>
      </w:tr>
    </w:tbl>
    <w:p>
      <w:pPr>
        <w:spacing w:after="60"/>
      </w:pPr>
    </w:p>
    <w:p>
      <w:pPr>
        <w:pStyle w:val="Heading1"/>
        <w:pageBreakBefore/>
      </w:pPr>
      <w:bookmarkStart w:name="_Toc9" w:id="9"/>
      <w:r>
        <w:t xml:space="preserve">Item 3 – Análise geográfica e informação de residência</w:t>
      </w:r>
      <w:bookmarkEnd w:id="9"/>
    </w:p>
    <w:p>
      <w:pPr>
        <w:pStyle w:val="Heading2"/>
      </w:pPr>
      <w:bookmarkStart w:name="_Toc10" w:id="10"/>
      <w:r>
        <w:t xml:space="preserve">3a e 3b – Taxas pela residência do paciente</w:t>
      </w:r>
      <w:bookmarkEnd w:id="10"/>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3a. O notebook confirma que as distribuições por região e UF da Tabela 2 usam AP_UFMUN, o município/UF do estabelecimento. Esses numeradores por estabelecimento são divididos por denominadores de população residente e, portanto, não podem ser interpretados como taxas regionais de residentes tratados.</w:t>
            </w:r>
          </w:p>
          <w:p>
            <w:pPr>
              <w:spacing w:after="120"/>
            </w:pPr>
            <w:r>
              <w:rPr>
                <w:i/>
                <w:iCs/>
              </w:rPr>
              <w:t xml:space="preserve">3b. Escolher uma de duas abordagens: calcular as taxas regionais e estaduais pelo município de residência do paciente, tratando e relatando explicitamente a residência ausente; ou manter a distribuição por estabelecimento apenas como contagens de locais de dispensação, removendo as taxas por milhão e a interpretação de prevalência. Não é necessária nova análise de sensibilidade.</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Adotada a </w:t>
      </w:r>
      <w:r>
        <w:rPr>
          <w:b/>
          <w:bCs/>
        </w:rPr>
        <w:t xml:space="preserve">primeira abordagem</w:t>
      </w:r>
      <w:r>
        <w:t xml:space="preserve">. Nova seção </w:t>
      </w:r>
      <w:r>
        <w:rPr>
          <w:b/>
          <w:bCs/>
        </w:rPr>
        <w:t xml:space="preserve">6.7 – Taxas por residência do paciente</w:t>
      </w:r>
      <w:r>
        <w:t xml:space="preserve"> nos dois notebooks.</w:t>
      </w:r>
    </w:p>
    <w:p>
      <w:pPr>
        <w:pStyle w:val="ListParagraph"/>
        <w:numPr>
          <w:ilvl w:val="0"/>
          <w:numId w:val="2"/>
        </w:numPr>
        <w:spacing w:after="60"/>
      </w:pPr>
      <w:r>
        <w:t xml:space="preserve">Numerador: pacientes pelo município de residência </w:t>
      </w:r>
      <w:r>
        <w:rPr>
          <w:rFonts w:ascii="Consolas" w:cs="Consolas" w:eastAsia="Consolas" w:hAnsi="Consolas"/>
          <w:sz w:val="19"/>
          <w:szCs w:val="19"/>
        </w:rPr>
        <w:t xml:space="preserve">AP_MUNPCN</w:t>
      </w:r>
      <w:r>
        <w:t xml:space="preserve"> (campo do AM, presente em todos os registros), no registro mais recente de 2024.</w:t>
      </w:r>
    </w:p>
    <w:p>
      <w:pPr>
        <w:pStyle w:val="ListParagraph"/>
        <w:numPr>
          <w:ilvl w:val="0"/>
          <w:numId w:val="2"/>
        </w:numPr>
        <w:spacing w:after="60"/>
      </w:pPr>
      <w:r>
        <w:t xml:space="preserve">Denominador: população residente estimada pelo IBGE para 2024. Taxa por milhão com IC95% exato de Poisson.</w:t>
      </w:r>
    </w:p>
    <w:p>
      <w:pPr>
        <w:pStyle w:val="ListParagraph"/>
        <w:numPr>
          <w:ilvl w:val="0"/>
          <w:numId w:val="2"/>
        </w:numPr>
        <w:spacing w:after="60"/>
      </w:pPr>
      <w:r>
        <w:t xml:space="preserve">Seções </w:t>
      </w:r>
      <w:r>
        <w:rPr>
          <w:b/>
          <w:bCs/>
        </w:rPr>
        <w:t xml:space="preserve">6.5</w:t>
      </w:r>
      <w:r>
        <w:t xml:space="preserve"> e </w:t>
      </w:r>
      <w:r>
        <w:rPr>
          <w:b/>
          <w:bCs/>
        </w:rPr>
        <w:t xml:space="preserve">6.6</w:t>
      </w:r>
      <w:r>
        <w:t xml:space="preserve"> renomeadas para "estabelecimento de dispensação": agora são apenas contagens, sem taxa.</w:t>
      </w:r>
    </w:p>
    <w:p>
      <w:pPr>
        <w:pStyle w:val="ListParagraph"/>
        <w:numPr>
          <w:ilvl w:val="0"/>
          <w:numId w:val="2"/>
        </w:numPr>
        <w:spacing w:after="60"/>
      </w:pPr>
      <w:r>
        <w:t xml:space="preserve">Notebook de análise: os mapas foram refeitos (contagens por estabelecimento; contagens e taxas por milhão pela residência).</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geography_residence_rates.xlsx</w:t>
      </w:r>
      <w:r>
        <w:t xml:space="preserve">, aba </w:t>
      </w:r>
      <w:r>
        <w:rPr>
          <w:rFonts w:ascii="Consolas" w:cs="Consolas" w:eastAsia="Consolas" w:hAnsi="Consolas"/>
          <w:sz w:val="19"/>
          <w:szCs w:val="19"/>
        </w:rPr>
        <w:t xml:space="preserve">region_residence_rates</w:t>
      </w:r>
      <w:r>
        <w:t xml:space="preserve">: nova Tabela 2 por região (tabela abaixo).</w:t>
      </w:r>
    </w:p>
    <w:p>
      <w:pPr>
        <w:pStyle w:val="ListParagraph"/>
        <w:numPr>
          <w:ilvl w:val="0"/>
          <w:numId w:val="2"/>
        </w:numPr>
        <w:spacing w:after="60"/>
      </w:pPr>
      <w:r>
        <w:t xml:space="preserve">Aba </w:t>
      </w:r>
      <w:r>
        <w:rPr>
          <w:rFonts w:ascii="Consolas" w:cs="Consolas" w:eastAsia="Consolas" w:hAnsi="Consolas"/>
          <w:sz w:val="19"/>
          <w:szCs w:val="19"/>
        </w:rPr>
        <w:t xml:space="preserve">state_residence_rates</w:t>
      </w:r>
      <w:r>
        <w:t xml:space="preserve">: taxas por UF de residência com IC95% (de SP, 33,10, a AP, 1,14 por milhão).</w:t>
      </w:r>
    </w:p>
    <w:p>
      <w:pPr>
        <w:pStyle w:val="ListParagraph"/>
        <w:numPr>
          <w:ilvl w:val="0"/>
          <w:numId w:val="2"/>
        </w:numPr>
        <w:spacing w:after="60"/>
      </w:pPr>
      <w:r>
        <w:rPr>
          <w:rFonts w:ascii="Consolas" w:cs="Consolas" w:eastAsia="Consolas" w:hAnsi="Consolas"/>
          <w:sz w:val="19"/>
          <w:szCs w:val="19"/>
        </w:rPr>
        <w:t xml:space="preserve">state_dispensing_facility.xlsx</w:t>
      </w:r>
      <w:r>
        <w:t xml:space="preserve"> e </w:t>
      </w:r>
      <w:r>
        <w:rPr>
          <w:rFonts w:ascii="Consolas" w:cs="Consolas" w:eastAsia="Consolas" w:hAnsi="Consolas"/>
          <w:sz w:val="19"/>
          <w:szCs w:val="19"/>
        </w:rPr>
        <w:t xml:space="preserve">region_dispensing_facility.xlsx</w:t>
      </w:r>
      <w:r>
        <w:t xml:space="preserve">: contagens por local de dispensação, sem taxa.</w:t>
      </w:r>
    </w:p>
    <w:p>
      <w:pPr>
        <w:pStyle w:val="ListParagraph"/>
        <w:numPr>
          <w:ilvl w:val="0"/>
          <w:numId w:val="2"/>
        </w:numPr>
        <w:spacing w:after="60"/>
      </w:pPr>
      <w:r>
        <w:t xml:space="preserve">Mapas: </w:t>
      </w:r>
      <w:r>
        <w:rPr>
          <w:rFonts w:ascii="Consolas" w:cs="Consolas" w:eastAsia="Consolas" w:hAnsi="Consolas"/>
          <w:sz w:val="19"/>
          <w:szCs w:val="19"/>
        </w:rPr>
        <w:t xml:space="preserve">map_state_residence_rate_per_million.png</w:t>
      </w:r>
      <w:r>
        <w:t xml:space="preserve">, </w:t>
      </w:r>
      <w:r>
        <w:rPr>
          <w:rFonts w:ascii="Consolas" w:cs="Consolas" w:eastAsia="Consolas" w:hAnsi="Consolas"/>
          <w:sz w:val="19"/>
          <w:szCs w:val="19"/>
        </w:rPr>
        <w:t xml:space="preserve">map_state_residence_quartiles.png</w:t>
      </w:r>
      <w:r>
        <w:t xml:space="preserve"> e </w:t>
      </w:r>
      <w:r>
        <w:rPr>
          <w:rFonts w:ascii="Consolas" w:cs="Consolas" w:eastAsia="Consolas" w:hAnsi="Consolas"/>
          <w:sz w:val="19"/>
          <w:szCs w:val="19"/>
        </w:rPr>
        <w:t xml:space="preserve">map_state_dispensing_facility_counts.png</w:t>
      </w:r>
      <w:r>
        <w:t xml:space="preser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2000"/>
        <w:gridCol w:w="3500"/>
      </w:tblGrid>
      <w:tr>
        <w:trPr>
          <w:tblHeader/>
        </w:trPr>
        <w:tc>
          <w:tcPr>
            <w:tcW w:type="dxa" w:w="35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Região de residência</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Pacientes</w:t>
            </w:r>
          </w:p>
        </w:tc>
        <w:tc>
          <w:tcPr>
            <w:tcW w:type="dxa" w:w="3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Taxa por milhão (IC95%)</w:t>
            </w:r>
          </w:p>
        </w:tc>
      </w:tr>
      <w:tr>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Sudeste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2.309</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25,76 (24,72–26,83)</w:t>
            </w:r>
          </w:p>
        </w:tc>
      </w:tr>
      <w:tr>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Sul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738</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24,27 (22,55–26,09)</w:t>
            </w:r>
          </w:p>
        </w:tc>
      </w:tr>
      <w:tr>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Centro-Oeste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268</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16,04 (14,18–18,08)</w:t>
            </w:r>
          </w:p>
        </w:tc>
      </w:tr>
      <w:tr>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Nordeste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788</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13,66 (12,73–14,65)</w:t>
            </w:r>
          </w:p>
        </w:tc>
      </w:tr>
      <w:tr>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Norte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128</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6,77 (5,65–8,05)</w:t>
            </w:r>
          </w:p>
        </w:tc>
      </w:tr>
      <w:tr>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Brasil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4.231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19,83 (19,24–20,44)</w:t>
            </w:r>
          </w:p>
        </w:tc>
      </w:tr>
    </w:tbl>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Métodos: "As taxas regionais e estaduais foram calculadas pelo município de residência do paciente (AP_MUNPCN, disponível em todos os registros), usando como denominador as estimativas populacionais do IBGE para 2024, com intervalos de confiança de 95% exatos de Poisson. A distribuição pelo município do estabelecimento (AP_UFMUN) é apresentada apenas como contagem de locais de dispensação."</w:t>
            </w:r>
          </w:p>
        </w:tc>
      </w:tr>
    </w:tbl>
    <w:p>
      <w:pPr>
        <w:spacing w:after="60"/>
      </w:pPr>
    </w:p>
    <w:p>
      <w:pPr>
        <w:pStyle w:val="Heading2"/>
      </w:pPr>
      <w:bookmarkStart w:name="_Toc11" w:id="11"/>
      <w:r>
        <w:t xml:space="preserve">3c e 3d – Residência ausente e comparação pareada</w:t>
      </w:r>
      <w:bookmarkEnd w:id="11"/>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3c. Os totais marginais por estabelecimento e por residência não demonstram deslocamento de pacientes entre regiões, pois o município de residência está ausente para 496 pacientes. A diferença entre os 2.320 pacientes dispensados no Sudeste e os 1.847 residentes conhecidos no Sudeste não pode ser interpretada como 473 pacientes viajando para o Sudeste.</w:t>
            </w:r>
          </w:p>
          <w:p>
            <w:pPr>
              <w:spacing w:after="120"/>
            </w:pPr>
            <w:r>
              <w:rPr>
                <w:i/>
                <w:iCs/>
              </w:rPr>
              <w:t xml:space="preserve">3d. Relatar a distribuição dos pacientes com residência ausente por região de dispensação. Entre os pacientes com residência conhecida, apresentar uma comparação descritiva pareada entre região de residência e região de dispensação. As comparações de perfil socioeconômico devem usar o mesmo conjunto de pacientes nos dois lados.</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Seção </w:t>
      </w:r>
      <w:r>
        <w:rPr>
          <w:b/>
          <w:bCs/>
        </w:rPr>
        <w:t xml:space="preserve">6.7</w:t>
      </w:r>
      <w:r>
        <w:t xml:space="preserve"> calcula: (i) a residência ausente por região de dispensação, tanto pelo campo antigo (</w:t>
      </w:r>
      <w:r>
        <w:rPr>
          <w:rFonts w:ascii="Consolas" w:cs="Consolas" w:eastAsia="Consolas" w:hAnsi="Consolas"/>
          <w:sz w:val="19"/>
          <w:szCs w:val="19"/>
        </w:rPr>
        <w:t xml:space="preserve">PA_MUNPCN</w:t>
      </w:r>
      <w:r>
        <w:t xml:space="preserve">) quanto pelo novo (</w:t>
      </w:r>
      <w:r>
        <w:rPr>
          <w:rFonts w:ascii="Consolas" w:cs="Consolas" w:eastAsia="Consolas" w:hAnsi="Consolas"/>
          <w:sz w:val="19"/>
          <w:szCs w:val="19"/>
        </w:rPr>
        <w:t xml:space="preserve">AP_MUNPCN</w:t>
      </w:r>
      <w:r>
        <w:t xml:space="preserve">); (ii) a matriz pareada residência × dispensação; (iii) as contagens por região e por UF para o </w:t>
      </w:r>
      <w:r>
        <w:rPr>
          <w:b/>
          <w:bCs/>
        </w:rPr>
        <w:t xml:space="preserve">mesmo conjunto</w:t>
      </w:r>
      <w:r>
        <w:t xml:space="preserve"> de pacientes nos dois lados.</w:t>
      </w:r>
    </w:p>
    <w:p>
      <w:pPr>
        <w:pStyle w:val="ListParagraph"/>
        <w:numPr>
          <w:ilvl w:val="0"/>
          <w:numId w:val="2"/>
        </w:numPr>
        <w:spacing w:after="60"/>
      </w:pPr>
      <w:r>
        <w:t xml:space="preserve">Causa identificada: a residência antiga vinha de </w:t>
      </w:r>
      <w:r>
        <w:rPr>
          <w:rFonts w:ascii="Consolas" w:cs="Consolas" w:eastAsia="Consolas" w:hAnsi="Consolas"/>
          <w:sz w:val="19"/>
          <w:szCs w:val="19"/>
        </w:rPr>
        <w:t xml:space="preserve">PA_MUNPCN</w:t>
      </w:r>
      <w:r>
        <w:t xml:space="preserve">, da Produção Ambulatorial, que fica ausente quando o registro não tem correspondência no PA. No código, isso afetava 468 pacientes (o revisor cita 496). Com </w:t>
      </w:r>
      <w:r>
        <w:rPr>
          <w:rFonts w:ascii="Consolas" w:cs="Consolas" w:eastAsia="Consolas" w:hAnsi="Consolas"/>
          <w:sz w:val="19"/>
          <w:szCs w:val="19"/>
        </w:rPr>
        <w:t xml:space="preserve">AP_MUNPCN</w:t>
      </w:r>
      <w:r>
        <w:t xml:space="preserve">, nenhum paciente fica sem residência.</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geography_residence_rates.xlsx</w:t>
      </w:r>
      <w:r>
        <w:t xml:space="preserve">, aba </w:t>
      </w:r>
      <w:r>
        <w:rPr>
          <w:rFonts w:ascii="Consolas" w:cs="Consolas" w:eastAsia="Consolas" w:hAnsi="Consolas"/>
          <w:sz w:val="19"/>
          <w:szCs w:val="19"/>
        </w:rPr>
        <w:t xml:space="preserve">missing_by_dispensing_region</w:t>
      </w:r>
      <w:r>
        <w:t xml:space="preserve">: pelo campo antigo, 462 dos 468 pacientes sem residência eram dispensados no Sudeste (19,9% dos dispensados na região). Pelo campo novo, nenhum paciente fica sem residência.</w:t>
      </w:r>
    </w:p>
    <w:p>
      <w:pPr>
        <w:pStyle w:val="ListParagraph"/>
        <w:numPr>
          <w:ilvl w:val="0"/>
          <w:numId w:val="2"/>
        </w:numPr>
        <w:spacing w:after="60"/>
      </w:pPr>
      <w:r>
        <w:t xml:space="preserve">Aba </w:t>
      </w:r>
      <w:r>
        <w:rPr>
          <w:rFonts w:ascii="Consolas" w:cs="Consolas" w:eastAsia="Consolas" w:hAnsi="Consolas"/>
          <w:sz w:val="19"/>
          <w:szCs w:val="19"/>
        </w:rPr>
        <w:t xml:space="preserve">residence_x_dispensing_matrix</w:t>
      </w:r>
      <w:r>
        <w:t xml:space="preserve">: cruzamento das regiões.</w:t>
      </w:r>
    </w:p>
    <w:p>
      <w:pPr>
        <w:pStyle w:val="ListParagraph"/>
        <w:numPr>
          <w:ilvl w:val="0"/>
          <w:numId w:val="2"/>
        </w:numPr>
        <w:spacing w:after="60"/>
      </w:pPr>
      <w:r>
        <w:t xml:space="preserve">Aba </w:t>
      </w:r>
      <w:r>
        <w:rPr>
          <w:rFonts w:ascii="Consolas" w:cs="Consolas" w:eastAsia="Consolas" w:hAnsi="Consolas"/>
          <w:sz w:val="19"/>
          <w:szCs w:val="19"/>
        </w:rPr>
        <w:t xml:space="preserve">paired_summary</w:t>
      </w:r>
      <w:r>
        <w:t xml:space="preserve">: 4.212 pacientes (99,55%) foram dispensados na própria região de residência e 4.191 (99,05%) na própria UF. Apenas 19 pacientes (0,45%) foram dispensados em outra região.</w:t>
      </w:r>
    </w:p>
    <w:p>
      <w:pPr>
        <w:pStyle w:val="ListParagraph"/>
        <w:numPr>
          <w:ilvl w:val="0"/>
          <w:numId w:val="2"/>
        </w:numPr>
        <w:spacing w:after="60"/>
      </w:pPr>
      <w:r>
        <w:t xml:space="preserve">Aba </w:t>
      </w:r>
      <w:r>
        <w:rPr>
          <w:rFonts w:ascii="Consolas" w:cs="Consolas" w:eastAsia="Consolas" w:hAnsi="Consolas"/>
          <w:sz w:val="19"/>
          <w:szCs w:val="19"/>
        </w:rPr>
        <w:t xml:space="preserve">region_same_patient_set</w:t>
      </w:r>
      <w:r>
        <w:t xml:space="preserve">: Sudeste com 2.320 pacientes por dispensação e 2.309 por residência (diferença de 11).</w:t>
      </w:r>
    </w:p>
    <w:p>
      <w:pPr>
        <w:pStyle w:val="ListParagraph"/>
        <w:numPr>
          <w:ilvl w:val="0"/>
          <w:numId w:val="2"/>
        </w:numPr>
        <w:spacing w:after="60"/>
      </w:pPr>
      <w:r>
        <w:t xml:space="preserve">Aba </w:t>
      </w:r>
      <w:r>
        <w:rPr>
          <w:rFonts w:ascii="Consolas" w:cs="Consolas" w:eastAsia="Consolas" w:hAnsi="Consolas"/>
          <w:sz w:val="19"/>
          <w:szCs w:val="19"/>
        </w:rPr>
        <w:t xml:space="preserve">uf_mesmo_conjunto</w:t>
      </w:r>
      <w:r>
        <w:t xml:space="preserve">: o mesmo, por UF. Usar esta aba em qualquer comparação socioeconômica.</w:t>
      </w:r>
    </w:p>
    <w:p>
      <w:pPr>
        <w:pStyle w:val="ListParagraph"/>
        <w:numPr>
          <w:ilvl w:val="0"/>
          <w:numId w:val="2"/>
        </w:numPr>
        <w:spacing w:after="60"/>
      </w:pPr>
      <w:r>
        <w:t xml:space="preserve">Aba </w:t>
      </w:r>
      <w:r>
        <w:rPr>
          <w:rFonts w:ascii="Consolas" w:cs="Consolas" w:eastAsia="Consolas" w:hAnsi="Consolas"/>
          <w:sz w:val="19"/>
          <w:szCs w:val="19"/>
        </w:rPr>
        <w:t xml:space="preserve">residence_sources</w:t>
      </w:r>
      <w:r>
        <w:t xml:space="preserve">: comparação entre o campo antigo (PA) e o novo (AM).</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Resultados: "A residência foi conhecida para todos os pacientes. Na comparação pareada, 99,55% dos pacientes foram dispensados na própria região de residência e 99,05% na própria UF; apenas 19 pacientes (0,45%) receberam o medicamento em outra região. A diferença observada anteriormente entre os totais por dispensação e por residência no Sudeste decorria da ausência do município de residência no arquivo de Produção Ambulatorial e não indica deslocamento de pacientes." Remover do texto a interpretação de 473 pacientes viajando para o Sudeste.</w:t>
            </w:r>
          </w:p>
        </w:tc>
      </w:tr>
    </w:tbl>
    <w:p>
      <w:pPr>
        <w:spacing w:after="60"/>
      </w:pPr>
    </w:p>
    <w:p>
      <w:pPr>
        <w:pStyle w:val="Heading2"/>
      </w:pPr>
      <w:bookmarkStart w:name="_Toc12" w:id="12"/>
      <w:r>
        <w:t xml:space="preserve">3e – Revisão do Resumo, Resultados, Key Points, Plain Language Summary e Discussão</w:t>
      </w:r>
      <w:bookmarkEnd w:id="12"/>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Revisar o Resumo, os Resultados, os Key Points, o Plain Language Summary e a Discussão. Como pedido anteriormente, a Discussão deve dizer explicitamente que taxas menores de pacientes tratados não distinguem menor ocorrência da doença de diferenças no diagnóstico, no início do tratamento, na cobertura do tratamento pelo setor público ou no acesso a cuidado especializado.</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Nenhuma alteração de código necessária: o ajuste é apenas no texto do manuscrito.</w:t>
      </w:r>
    </w:p>
    <w:p>
      <w:pPr>
        <w:spacing w:after="80" w:before="200"/>
      </w:pPr>
      <w:r>
        <w:rPr>
          <w:b/>
          <w:bCs/>
          <w:color w:val="1F4E79"/>
          <w:sz w:val="22"/>
          <w:szCs w:val="22"/>
        </w:rPr>
        <w:t xml:space="preserve">Onde encontrar o resultado</w:t>
      </w:r>
    </w:p>
    <w:p>
      <w:pPr>
        <w:pStyle w:val="ListParagraph"/>
        <w:numPr>
          <w:ilvl w:val="0"/>
          <w:numId w:val="2"/>
        </w:numPr>
        <w:spacing w:after="60"/>
      </w:pPr>
      <w:r>
        <w:t xml:space="preserve">Taxas por região e por UF: </w:t>
      </w:r>
      <w:r>
        <w:rPr>
          <w:rFonts w:ascii="Consolas" w:cs="Consolas" w:eastAsia="Consolas" w:hAnsi="Consolas"/>
          <w:sz w:val="19"/>
          <w:szCs w:val="19"/>
        </w:rPr>
        <w:t xml:space="preserve">geography_residence_rates.xlsx</w:t>
      </w:r>
      <w:r>
        <w:t xml:space="preserve"> (itens 3a e 3b).</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Discussão: "As taxas menores de pacientes tratados no Norte e no Nordeste não permitem distinguir menor ocorrência da doença de diferenças no diagnóstico, no início do tratamento, na cobertura do tratamento pelo setor público ou no acesso a cuidado especializado. Essas taxas descrevem pacientes tratados com os medicamentos do estudo pelo SUS e não devem ser interpretadas como prevalência da doença."</w:t>
            </w:r>
          </w:p>
        </w:tc>
      </w:tr>
    </w:tbl>
    <w:p>
      <w:pPr>
        <w:spacing w:after="60"/>
      </w:pPr>
    </w:p>
    <w:p>
      <w:pPr>
        <w:pStyle w:val="Heading1"/>
        <w:pageBreakBefore/>
      </w:pPr>
      <w:bookmarkStart w:name="_Toc13" w:id="13"/>
      <w:r>
        <w:t xml:space="preserve">Item 4 – Figura 2, legenda e código depositado</w:t>
      </w:r>
      <w:bookmarkEnd w:id="13"/>
    </w:p>
    <w:p>
      <w:pPr>
        <w:pStyle w:val="Heading2"/>
      </w:pPr>
      <w:bookmarkStart w:name="_Toc14" w:id="14"/>
      <w:r>
        <w:t xml:space="preserve">4a e 4b – Cobertura de tratamento versus dispensação registrada</w:t>
      </w:r>
      <w:bookmarkEnd w:id="14"/>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4a. A carta de resposta e a legenda dizem que cada dispensação foi estendida pelos meses que deveria cobrir. O notebook, porém, deriva os meses diretamente de AP_CMP; não calcula data de fim de cobertura nem propaga as dispensações para meses seguintes. O código representa meses com registro administrativo de dispensação, e não cobertura estimada de tratamento.</w:t>
            </w:r>
          </w:p>
          <w:p>
            <w:pPr>
              <w:spacing w:after="120"/>
            </w:pPr>
            <w:r>
              <w:rPr>
                <w:i/>
                <w:iCs/>
              </w:rPr>
              <w:t xml:space="preserve">4b. Os autores podem implementar e descrever um algoritmo de cobertura defensável, renomear a figura como dispensação mensal registrada e remover as afirmações sobre cobertura e estabilidade, ou remover a figura.</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Adotada a </w:t>
      </w:r>
      <w:r>
        <w:rPr>
          <w:b/>
          <w:bCs/>
        </w:rPr>
        <w:t xml:space="preserve">segunda opção</w:t>
      </w:r>
      <w:r>
        <w:t xml:space="preserve">: a figura passou a se chamar "Recorded monthly dispensing" (dispensação mensal registrada). Seção </w:t>
      </w:r>
      <w:r>
        <w:rPr>
          <w:b/>
          <w:bCs/>
        </w:rPr>
        <w:t xml:space="preserve">7.4.4</w:t>
      </w:r>
      <w:r>
        <w:t xml:space="preserve"> do notebook principal reescrita.</w:t>
      </w:r>
    </w:p>
    <w:p>
      <w:pPr>
        <w:pStyle w:val="ListParagraph"/>
        <w:numPr>
          <w:ilvl w:val="0"/>
          <w:numId w:val="2"/>
        </w:numPr>
        <w:spacing w:after="60"/>
      </w:pPr>
      <w:r>
        <w:t xml:space="preserve">A legenda da própria figura informa que os meses refletem registros administrativos de dispensação, e não cobertura estimada de tratamento.</w:t>
      </w:r>
    </w:p>
    <w:p>
      <w:pPr>
        <w:pStyle w:val="ListParagraph"/>
        <w:numPr>
          <w:ilvl w:val="0"/>
          <w:numId w:val="2"/>
        </w:numPr>
        <w:spacing w:after="60"/>
      </w:pPr>
      <w:r>
        <w:t xml:space="preserve">Os medicamentos de cada mês passaram a incluir, além do </w:t>
      </w:r>
      <w:r>
        <w:rPr>
          <w:rFonts w:ascii="Consolas" w:cs="Consolas" w:eastAsia="Consolas" w:hAnsi="Consolas"/>
          <w:sz w:val="19"/>
          <w:szCs w:val="19"/>
        </w:rPr>
        <w:t xml:space="preserve">AP_PRIPAL</w:t>
      </w:r>
      <w:r>
        <w:t xml:space="preserve">, os outros medicamentos do estudo dispensados na mesma APAC, registrados no PA (ver a seção "Correções adicionais").</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figure2_recorded_monthly_dispensing.png</w:t>
      </w:r>
      <w:r>
        <w:t xml:space="preserve">: nova Figura 2.</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Legenda: "Figura 2. Dispensação mensal registrada de medicamentos para acromegalia no SUS, 2024 (N = 4.231 pacientes). Cada eixo vertical é um mês de competência. Os blocos mostram o número de pacientes por princípio(s) ativo(s) com registro de dispensação no mês. As faixas mostram as transições entre meses consecutivos e são coloridas pela categoria no mês de origem. 'Sem registro de dispensação' indica um mês sem nenhum registro para o paciente; combinações indicam mais de um princípio ativo dispensado no mesmo mês, identificados pelo procedimento principal do APAC Medicamentos e pelos medicamentos do estudo registrados na mesma APAC na Produção Ambulatorial. A figura reflete registros administrativos de dispensação, e não cobertura estimada de tratamento."</w:t>
            </w:r>
          </w:p>
          <w:p>
            <w:pPr>
              <w:spacing w:after="120"/>
            </w:pPr>
            <w:r>
              <w:t xml:space="preserve">Remover do texto as afirmações sobre cobertura e estabilidade do tratamento baseadas nesta figura.</w:t>
            </w:r>
          </w:p>
        </w:tc>
      </w:tr>
    </w:tbl>
    <w:p>
      <w:pPr>
        <w:spacing w:after="60"/>
      </w:pPr>
    </w:p>
    <w:p>
      <w:pPr>
        <w:pStyle w:val="Heading2"/>
      </w:pPr>
      <w:bookmarkStart w:name="_Toc15" w:id="15"/>
      <w:r>
        <w:t xml:space="preserve">4c e 4d – N, categoria NA, combinações e cores das faixas</w:t>
      </w:r>
      <w:bookmarkEnd w:id="15"/>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4c. O conjunto de dados do alluvial tem 4.231 pacientes, mas a legenda informa 4.232. A categoria "NA" não é definida. Quando mais de um princípio ativo ocorre no mesmo paciente-mês, first(medicamento_grupo) mantém um deles arbitrariamente e descarta a combinação. Além disso, geom_alluvium(aes(fill = Janeiro)) colore as faixas pelo valor de janeiro, e não pelo uso de medicamento nos meses seguintes.</w:t>
            </w:r>
          </w:p>
          <w:p>
            <w:pPr>
              <w:spacing w:after="120"/>
            </w:pPr>
            <w:r>
              <w:rPr>
                <w:i/>
                <w:iCs/>
              </w:rPr>
              <w:t xml:space="preserve">4d. Esses problemas devem ser corrigidos antes que a figura possa sustentar afirmações sobre estabilidade longitudinal, troca ou tratamento combinado.</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N = 4.231, igual à coorte corrigida (verificado com </w:t>
      </w:r>
      <w:r>
        <w:rPr>
          <w:rFonts w:ascii="Consolas" w:cs="Consolas" w:eastAsia="Consolas" w:hAnsi="Consolas"/>
          <w:sz w:val="19"/>
          <w:szCs w:val="19"/>
        </w:rPr>
        <w:t xml:space="preserve">stopifnot</w:t>
      </w:r>
      <w:r>
        <w:t xml:space="preserve">).</w:t>
      </w:r>
    </w:p>
    <w:p>
      <w:pPr>
        <w:pStyle w:val="ListParagraph"/>
        <w:numPr>
          <w:ilvl w:val="0"/>
          <w:numId w:val="2"/>
        </w:numPr>
        <w:spacing w:after="60"/>
      </w:pPr>
      <w:r>
        <w:t xml:space="preserve">"NA" substituído por </w:t>
      </w:r>
      <w:r>
        <w:rPr>
          <w:b/>
          <w:bCs/>
        </w:rPr>
        <w:t xml:space="preserve">"No dispensing record"</w:t>
      </w:r>
      <w:r>
        <w:t xml:space="preserve"> (mês sem nenhum registro para o paciente), construído a partir de uma grade completa paciente × 12 meses.</w:t>
      </w:r>
    </w:p>
    <w:p>
      <w:pPr>
        <w:pStyle w:val="ListParagraph"/>
        <w:numPr>
          <w:ilvl w:val="0"/>
          <w:numId w:val="2"/>
        </w:numPr>
        <w:spacing w:after="60"/>
      </w:pPr>
      <w:r>
        <w:rPr>
          <w:rFonts w:ascii="Consolas" w:cs="Consolas" w:eastAsia="Consolas" w:hAnsi="Consolas"/>
          <w:sz w:val="19"/>
          <w:szCs w:val="19"/>
        </w:rPr>
        <w:t xml:space="preserve">first()</w:t>
      </w:r>
      <w:r>
        <w:t xml:space="preserve"> removido: quando há mais de um princípio ativo no mesmo paciente-mês, a combinação vira categoria própria (ex.: "Octreotide + Cabergoline").</w:t>
      </w:r>
    </w:p>
    <w:p>
      <w:pPr>
        <w:pStyle w:val="ListParagraph"/>
        <w:numPr>
          <w:ilvl w:val="0"/>
          <w:numId w:val="2"/>
        </w:numPr>
        <w:spacing w:after="60"/>
      </w:pPr>
      <w:r>
        <w:t xml:space="preserve">Cores: </w:t>
      </w:r>
      <w:r>
        <w:rPr>
          <w:rFonts w:ascii="Consolas" w:cs="Consolas" w:eastAsia="Consolas" w:hAnsi="Consolas"/>
          <w:sz w:val="19"/>
          <w:szCs w:val="19"/>
        </w:rPr>
        <w:t xml:space="preserve">geom_flow(aes(fill = categoria))</w:t>
      </w:r>
      <w:r>
        <w:t xml:space="preserve">. Cada faixa é colorida pela categoria do mês de origem.</w:t>
      </w:r>
    </w:p>
    <w:p>
      <w:pPr>
        <w:pStyle w:val="ListParagraph"/>
        <w:numPr>
          <w:ilvl w:val="0"/>
          <w:numId w:val="2"/>
        </w:numPr>
        <w:spacing w:after="60"/>
      </w:pPr>
      <w:r>
        <w:t xml:space="preserve">Os alluviais exploratórios 7.4.2 e 7.4.3 (por dose) continuam no notebook com uma nota de que não são a Figura 2, mas não são mais salvos em disco.</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figure2_recorded_monthly_dispensing_data.xlsx</w:t>
      </w:r>
      <w:r>
        <w:t xml:space="preserve">, aba </w:t>
      </w:r>
      <w:r>
        <w:rPr>
          <w:rFonts w:ascii="Consolas" w:cs="Consolas" w:eastAsia="Consolas" w:hAnsi="Consolas"/>
          <w:sz w:val="19"/>
          <w:szCs w:val="19"/>
        </w:rPr>
        <w:t xml:space="preserve">patients_by_month_category</w:t>
      </w:r>
      <w:r>
        <w:t xml:space="preserve">: pacientes por categoria em cada mês (dados da figura).</w:t>
      </w:r>
    </w:p>
    <w:p>
      <w:pPr>
        <w:pStyle w:val="ListParagraph"/>
        <w:numPr>
          <w:ilvl w:val="0"/>
          <w:numId w:val="2"/>
        </w:numPr>
        <w:spacing w:after="60"/>
      </w:pPr>
      <w:r>
        <w:t xml:space="preserve">Aba </w:t>
      </w:r>
      <w:r>
        <w:rPr>
          <w:rFonts w:ascii="Consolas" w:cs="Consolas" w:eastAsia="Consolas" w:hAnsi="Consolas"/>
          <w:sz w:val="19"/>
          <w:szCs w:val="19"/>
        </w:rPr>
        <w:t xml:space="preserve">month_to_month_transitions</w:t>
      </w:r>
      <w:r>
        <w:t xml:space="preserve">: transições entre meses consecutivos, por categoria de origem e de destino.</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Na legenda, usar N = 4.231 e as definições do item 4b.</w:t>
            </w:r>
          </w:p>
        </w:tc>
      </w:tr>
    </w:tbl>
    <w:p>
      <w:pPr>
        <w:spacing w:after="60"/>
      </w:pPr>
    </w:p>
    <w:p>
      <w:pPr>
        <w:pStyle w:val="Heading1"/>
        <w:pageBreakBefore/>
      </w:pPr>
      <w:bookmarkStart w:name="_Toc16" w:id="16"/>
      <w:r>
        <w:t xml:space="preserve">Item 5 – Ligação, deduplicação e dados ausentes ligados à ligação</w:t>
      </w:r>
      <w:bookmarkEnd w:id="16"/>
    </w:p>
    <w:p>
      <w:pPr>
        <w:pStyle w:val="Heading2"/>
      </w:pPr>
      <w:bookmarkStart w:name="_Toc17" w:id="17"/>
      <w:r>
        <w:t xml:space="preserve">5a e 5b – Registros, autorizações, cardinalidade da ligação e deduplicação</w:t>
      </w:r>
      <w:bookmarkEnd w:id="17"/>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5a. A Figura 1 rotula as bases de origem como "deduplicadas", mas o notebook une as tabelas sem agregá-las e aumenta os dados de APAC Medicamentos de 84.042 para 103.204 registros. Distinguir registros, autorizações, eventos de dispensação e pacientes; descrever qualquer remoção de duplicatas ou agregação feita antes da ligação; informar a cardinalidade esperada da ligação; e explicar por que a ligação não multiplica os eventos usados nas análises.</w:t>
            </w:r>
          </w:p>
          <w:p>
            <w:pPr>
              <w:spacing w:after="120"/>
            </w:pPr>
            <w:r>
              <w:rPr>
                <w:i/>
                <w:iCs/>
              </w:rPr>
              <w:t xml:space="preserve">5b. Distinguir a ligação em nível de autorização, baseada no número da autorização e nas datas, da deduplicação posterior em nível de paciente, pelo identificador criptografado. O checklist RECORD atualmente confunde as duas operações.</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Seção </w:t>
      </w:r>
      <w:r>
        <w:rPr>
          <w:b/>
          <w:bCs/>
        </w:rPr>
        <w:t xml:space="preserve">3 – União dos Dados</w:t>
      </w:r>
      <w:r>
        <w:t xml:space="preserve"> reescrita nos dois notebooks:</w:t>
      </w:r>
    </w:p>
    <w:p>
      <w:pPr>
        <w:pStyle w:val="ListParagraph"/>
        <w:numPr>
          <w:ilvl w:val="0"/>
          <w:numId w:val="2"/>
        </w:numPr>
        <w:spacing w:after="60"/>
      </w:pPr>
      <w:r>
        <w:t xml:space="preserve">AM: o código verifica (</w:t>
      </w:r>
      <w:r>
        <w:rPr>
          <w:rFonts w:ascii="Consolas" w:cs="Consolas" w:eastAsia="Consolas" w:hAnsi="Consolas"/>
          <w:sz w:val="19"/>
          <w:szCs w:val="19"/>
        </w:rPr>
        <w:t xml:space="preserve">stopifnot</w:t>
      </w:r>
      <w:r>
        <w:t xml:space="preserve">) que há exatamente 1 registro por chave (autorização + competência + mês de processamento). Cada linha é um registro mensal de dispensação.</w:t>
      </w:r>
    </w:p>
    <w:p>
      <w:pPr>
        <w:pStyle w:val="ListParagraph"/>
        <w:numPr>
          <w:ilvl w:val="0"/>
          <w:numId w:val="2"/>
        </w:numPr>
        <w:spacing w:after="60"/>
      </w:pPr>
      <w:r>
        <w:t xml:space="preserve">PA: tem várias linhas por chave (uma por procedimento, inclusive 219 linhas idênticas). Antes da ligação, o PA é </w:t>
      </w:r>
      <w:r>
        <w:rPr>
          <w:b/>
          <w:bCs/>
        </w:rPr>
        <w:t xml:space="preserve">agregado para 1 linha por chave</w:t>
      </w:r>
      <w:r>
        <w:t xml:space="preserve">: os campos demográficos recebem o primeiro valor não ausente, e as quantidades e valores são somados.</w:t>
      </w:r>
    </w:p>
    <w:p>
      <w:pPr>
        <w:pStyle w:val="ListParagraph"/>
        <w:numPr>
          <w:ilvl w:val="0"/>
          <w:numId w:val="2"/>
        </w:numPr>
        <w:spacing w:after="60"/>
      </w:pPr>
      <w:r>
        <w:t xml:space="preserve">A ligação é feita com </w:t>
      </w:r>
      <w:r>
        <w:rPr>
          <w:rFonts w:ascii="Consolas" w:cs="Consolas" w:eastAsia="Consolas" w:hAnsi="Consolas"/>
          <w:sz w:val="19"/>
          <w:szCs w:val="19"/>
        </w:rPr>
        <w:t xml:space="preserve">relationship = "one-to-one"</w:t>
      </w:r>
      <w:r>
        <w:t xml:space="preserve">, o que gera erro se alguma chave casar com mais de uma linha. A base ligada tem exatamente o mesmo número de registros do AM: a ligação não multiplica eventos.</w:t>
      </w:r>
    </w:p>
    <w:p>
      <w:pPr>
        <w:pStyle w:val="ListParagraph"/>
        <w:numPr>
          <w:ilvl w:val="0"/>
          <w:numId w:val="2"/>
        </w:numPr>
        <w:spacing w:after="60"/>
      </w:pPr>
      <w:r>
        <w:t xml:space="preserve">A deduplicação por paciente (CNS) acontece só depois da ligação, do filtro de 2024 e da exclusão sem CNS (seção 6). O fluxograma não usa mais o rótulo "deduplicated" para as bases de origem.</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figure1_flowchart_data_linkage.xlsx</w:t>
      </w:r>
      <w:r>
        <w:t xml:space="preserve"> e </w:t>
      </w:r>
      <w:r>
        <w:rPr>
          <w:rFonts w:ascii="Consolas" w:cs="Consolas" w:eastAsia="Consolas" w:hAnsi="Consolas"/>
          <w:sz w:val="19"/>
          <w:szCs w:val="19"/>
        </w:rPr>
        <w:t xml:space="preserve">figure1_flowchart_data_linkage.png</w:t>
      </w:r>
      <w:r>
        <w:t xml:space="preserve">: AM com 84.042 registros (39.254 autorizações); PA com 97.280 linhas (30.896 autorizações) agregadas em 75.377 chaves; 74.764 registros AM ligados e 9.278 sem correspondência (mantidos); 613 chaves do PA sem correspondência no AM, correspondendo a 489 autorizações nunca presentes no AM (excluídas); base ligada com 84.042 registros.</w:t>
      </w:r>
    </w:p>
    <w:p>
      <w:pPr>
        <w:pStyle w:val="ListParagraph"/>
        <w:numPr>
          <w:ilvl w:val="0"/>
          <w:numId w:val="2"/>
        </w:numPr>
        <w:spacing w:after="60"/>
      </w:pPr>
      <w:r>
        <w:t xml:space="preserve">Na coorte final de 2024: 34.097 dos 38.559 registros (88,4%) têm correspondência no PA.</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Métodos: "O arquivo APAC Medicamentos contém um registro por número de autorização, mês de competência e mês de processamento, e cada registro corresponde a uma dispensação mensal. Como o arquivo de Produção Ambulatorial pode conter várias linhas por chave, ele foi agregado para uma linha por chave antes da ligação. A ligação em nível de autorização (número da autorização, competência e processamento) foi um-para-um: cada registro de APAC Medicamentos correspondeu a nenhuma ou a uma chave da Produção Ambulatorial, de modo que a ligação não multiplicou os eventos de dispensação. A deduplicação em nível de paciente usou o identificador criptografado do paciente e foi feita após a ligação."</w:t>
            </w:r>
          </w:p>
        </w:tc>
      </w:tr>
    </w:tbl>
    <w:p>
      <w:pPr>
        <w:spacing w:after="60"/>
      </w:pPr>
    </w:p>
    <w:p>
      <w:pPr>
        <w:pStyle w:val="Heading2"/>
      </w:pPr>
      <w:bookmarkStart w:name="_Toc18" w:id="18"/>
      <w:r>
        <w:t xml:space="preserve">5c – Idade e raça/cor ausentes versus status de ligação</w:t>
      </w:r>
      <w:bookmarkEnd w:id="18"/>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Idade e raça/cor vieram dos campos PA_IDADE e PA_RACACOR da Produção Ambulatorial, e as duas variáveis têm 468 observações ausentes. Verificar se esses ausentes correspondem a registros ou pacientes sem correspondência na Produção Ambulatorial. Relatar a sobreposição entre as variáveis demográficas ausentes e o status de ligação e revisar a nota de rodapé da Tabela 1. Se a ausência estiver ligada à ligação, discutir a possibilidade de perda diferencial; sua direção não deve ser presumida sem avaliação empírica.</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Nova seção </w:t>
      </w:r>
      <w:r>
        <w:rPr>
          <w:b/>
          <w:bCs/>
        </w:rPr>
        <w:t xml:space="preserve">6.2.1 – Dados demográficos ausentes × status de ligação com o PA</w:t>
      </w:r>
      <w:r>
        <w:t xml:space="preserve"> nos dois notebooks.</w:t>
      </w:r>
    </w:p>
    <w:p>
      <w:pPr>
        <w:pStyle w:val="ListParagraph"/>
        <w:numPr>
          <w:ilvl w:val="0"/>
          <w:numId w:val="2"/>
        </w:numPr>
        <w:spacing w:after="60"/>
      </w:pPr>
      <w:r>
        <w:t xml:space="preserve">O código cruza a ausência de idade e de raça/cor do PA com a ligação do registro selecionado e com a ligação em qualquer mês.</w:t>
      </w:r>
    </w:p>
    <w:p>
      <w:pPr>
        <w:pStyle w:val="ListParagraph"/>
        <w:numPr>
          <w:ilvl w:val="0"/>
          <w:numId w:val="2"/>
        </w:numPr>
        <w:spacing w:after="60"/>
      </w:pPr>
      <w:r>
        <w:t xml:space="preserve">Avaliação empírica: o AM tem campos próprios </w:t>
      </w:r>
      <w:r>
        <w:rPr>
          <w:b/>
          <w:bCs/>
        </w:rPr>
        <w:t xml:space="preserve">completos</w:t>
      </w:r>
      <w:r>
        <w:t xml:space="preserve"> de idade (</w:t>
      </w:r>
      <w:r>
        <w:rPr>
          <w:rFonts w:ascii="Consolas" w:cs="Consolas" w:eastAsia="Consolas" w:hAnsi="Consolas"/>
          <w:sz w:val="19"/>
          <w:szCs w:val="19"/>
        </w:rPr>
        <w:t xml:space="preserve">AP_NUIDADE</w:t>
      </w:r>
      <w:r>
        <w:t xml:space="preserve">), raça/cor (</w:t>
      </w:r>
      <w:r>
        <w:rPr>
          <w:rFonts w:ascii="Consolas" w:cs="Consolas" w:eastAsia="Consolas" w:hAnsi="Consolas"/>
          <w:sz w:val="19"/>
          <w:szCs w:val="19"/>
        </w:rPr>
        <w:t xml:space="preserve">AP_RACACOR</w:t>
      </w:r>
      <w:r>
        <w:t xml:space="preserve">) e sexo (</w:t>
      </w:r>
      <w:r>
        <w:rPr>
          <w:rFonts w:ascii="Consolas" w:cs="Consolas" w:eastAsia="Consolas" w:hAnsi="Consolas"/>
          <w:sz w:val="19"/>
          <w:szCs w:val="19"/>
        </w:rPr>
        <w:t xml:space="preserve">AP_SEXO</w:t>
      </w:r>
      <w:r>
        <w:t xml:space="preserve">). Eles foram usados para comparar os pacientes com e sem dados do PA.</w:t>
      </w:r>
    </w:p>
    <w:p>
      <w:pPr>
        <w:pStyle w:val="ListParagraph"/>
        <w:numPr>
          <w:ilvl w:val="0"/>
          <w:numId w:val="2"/>
        </w:numPr>
        <w:spacing w:after="60"/>
      </w:pPr>
      <w:r>
        <w:rPr>
          <w:b/>
          <w:bCs/>
        </w:rPr>
        <w:t xml:space="preserve">A Tabela 1 passou a usar os campos do AM</w:t>
      </w:r>
      <w:r>
        <w:t xml:space="preserve"> (seção 6): idade de </w:t>
      </w:r>
      <w:r>
        <w:rPr>
          <w:rFonts w:ascii="Consolas" w:cs="Consolas" w:eastAsia="Consolas" w:hAnsi="Consolas"/>
          <w:sz w:val="19"/>
          <w:szCs w:val="19"/>
        </w:rPr>
        <w:t xml:space="preserve">AP_NUIDADE</w:t>
      </w:r>
      <w:r>
        <w:t xml:space="preserve">/</w:t>
      </w:r>
      <w:r>
        <w:rPr>
          <w:rFonts w:ascii="Consolas" w:cs="Consolas" w:eastAsia="Consolas" w:hAnsi="Consolas"/>
          <w:sz w:val="19"/>
          <w:szCs w:val="19"/>
        </w:rPr>
        <w:t xml:space="preserve">AP_COIDADE</w:t>
      </w:r>
      <w:r>
        <w:t xml:space="preserve"> e raça/cor de </w:t>
      </w:r>
      <w:r>
        <w:rPr>
          <w:rFonts w:ascii="Consolas" w:cs="Consolas" w:eastAsia="Consolas" w:hAnsi="Consolas"/>
          <w:sz w:val="19"/>
          <w:szCs w:val="19"/>
        </w:rPr>
        <w:t xml:space="preserve">AP_RACACOR</w:t>
      </w:r>
      <w:r>
        <w:t xml:space="preserve">. Com isso, não há mais idade ou raça/cor ausentes. A pirâmide etária também usa a idade do AM.</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missing_demographics_linkage.xlsx</w:t>
      </w:r>
      <w:r>
        <w:t xml:space="preserve">, aba </w:t>
      </w:r>
      <w:r>
        <w:rPr>
          <w:rFonts w:ascii="Consolas" w:cs="Consolas" w:eastAsia="Consolas" w:hAnsi="Consolas"/>
          <w:sz w:val="19"/>
          <w:szCs w:val="19"/>
        </w:rPr>
        <w:t xml:space="preserve">overlap</w:t>
      </w:r>
      <w:r>
        <w:t xml:space="preserve">: os 468 pacientes sem idade e sem raça/cor são exatamente os que não tiveram correspondência no PA. Desses, 460 não tiveram nenhum registro vinculado em 2024 e 8 tiveram registro vinculado em outro mês.</w:t>
      </w:r>
    </w:p>
    <w:p>
      <w:pPr>
        <w:pStyle w:val="ListParagraph"/>
        <w:numPr>
          <w:ilvl w:val="0"/>
          <w:numId w:val="2"/>
        </w:numPr>
        <w:spacing w:after="60"/>
      </w:pPr>
      <w:r>
        <w:t xml:space="preserve">Aba </w:t>
      </w:r>
      <w:r>
        <w:rPr>
          <w:rFonts w:ascii="Consolas" w:cs="Consolas" w:eastAsia="Consolas" w:hAnsi="Consolas"/>
          <w:sz w:val="19"/>
          <w:szCs w:val="19"/>
        </w:rPr>
        <w:t xml:space="preserve">age_agreement_PA_AM</w:t>
      </w:r>
      <w:r>
        <w:t xml:space="preserve">: entre os pacientes vinculados, a idade do AM coincide com a do PA (diferença de até 1 ano) em 100% dos casos.</w:t>
      </w:r>
    </w:p>
    <w:p>
      <w:pPr>
        <w:pStyle w:val="ListParagraph"/>
        <w:numPr>
          <w:ilvl w:val="0"/>
          <w:numId w:val="2"/>
        </w:numPr>
        <w:spacing w:after="60"/>
      </w:pPr>
      <w:r>
        <w:t xml:space="preserve">Abas </w:t>
      </w:r>
      <w:r>
        <w:rPr>
          <w:rFonts w:ascii="Consolas" w:cs="Consolas" w:eastAsia="Consolas" w:hAnsi="Consolas"/>
          <w:sz w:val="19"/>
          <w:szCs w:val="19"/>
        </w:rPr>
        <w:t xml:space="preserve">profile_age_sex_AM</w:t>
      </w:r>
      <w:r>
        <w:t xml:space="preserve">, </w:t>
      </w:r>
      <w:r>
        <w:rPr>
          <w:rFonts w:ascii="Consolas" w:cs="Consolas" w:eastAsia="Consolas" w:hAnsi="Consolas"/>
          <w:sz w:val="19"/>
          <w:szCs w:val="19"/>
        </w:rPr>
        <w:t xml:space="preserve">profile_race_colour_AM</w:t>
      </w:r>
      <w:r>
        <w:t xml:space="preserve">, </w:t>
      </w:r>
      <w:r>
        <w:rPr>
          <w:rFonts w:ascii="Consolas" w:cs="Consolas" w:eastAsia="Consolas" w:hAnsi="Consolas"/>
          <w:sz w:val="19"/>
          <w:szCs w:val="19"/>
        </w:rPr>
        <w:t xml:space="preserve">profile_region_residence</w:t>
      </w:r>
      <w:r>
        <w:t xml:space="preserve"> e </w:t>
      </w:r>
      <w:r>
        <w:rPr>
          <w:rFonts w:ascii="Consolas" w:cs="Consolas" w:eastAsia="Consolas" w:hAnsi="Consolas"/>
          <w:sz w:val="19"/>
          <w:szCs w:val="19"/>
        </w:rPr>
        <w:t xml:space="preserve">profile_medication</w:t>
      </w:r>
      <w:r>
        <w:t xml:space="preserve">: comparação resumida na tabela abaixo.</w:t>
      </w:r>
    </w:p>
    <w:p>
      <w:pPr>
        <w:pStyle w:val="ListParagraph"/>
        <w:numPr>
          <w:ilvl w:val="0"/>
          <w:numId w:val="2"/>
        </w:numPr>
        <w:spacing w:after="60"/>
      </w:pPr>
      <w:r>
        <w:t xml:space="preserve">Nova Tabela 1: </w:t>
      </w:r>
      <w:r>
        <w:rPr>
          <w:rFonts w:ascii="Consolas" w:cs="Consolas" w:eastAsia="Consolas" w:hAnsi="Consolas"/>
          <w:sz w:val="19"/>
          <w:szCs w:val="19"/>
        </w:rPr>
        <w:t xml:space="preserve">age.xlsx</w:t>
      </w:r>
      <w:r>
        <w:t xml:space="preserve"> e </w:t>
      </w:r>
      <w:r>
        <w:rPr>
          <w:rFonts w:ascii="Consolas" w:cs="Consolas" w:eastAsia="Consolas" w:hAnsi="Consolas"/>
          <w:sz w:val="19"/>
          <w:szCs w:val="19"/>
        </w:rPr>
        <w:t xml:space="preserve">race_colour.xlsx</w:t>
      </w:r>
      <w:r>
        <w:t xml:space="preserve">, sem ausentes. Raça/cor: Branca 2.371 (56,0%), Parda 1.563 (36,9%), Preta 218 (5,2%), Amarela 79 (1,9%).</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2750"/>
        <w:gridCol w:w="2750"/>
      </w:tblGrid>
      <w:tr>
        <w:trPr>
          <w:tblHeader/>
        </w:trPr>
        <w:tc>
          <w:tcPr>
            <w:tcW w:type="dxa" w:w="35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Característica (campos do AM)</w:t>
            </w:r>
          </w:p>
        </w:tc>
        <w:tc>
          <w:tcPr>
            <w:tcW w:type="dxa" w:w="27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Vinculados (n = 3.763)</w:t>
            </w:r>
          </w:p>
        </w:tc>
        <w:tc>
          <w:tcPr>
            <w:tcW w:type="dxa" w:w="27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Não vinculados (n = 468)</w:t>
            </w:r>
          </w:p>
        </w:tc>
      </w:tr>
      <w:tr>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Idade mediana (IIQ)</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54 (43–64,5)</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54 (47–65)</w:t>
            </w:r>
          </w:p>
        </w:tc>
      </w:tr>
      <w:tr>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60 anos ou mais</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36,5%</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38,2%</w:t>
            </w:r>
          </w:p>
        </w:tc>
      </w:tr>
      <w:tr>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Sexo feminino</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61,6%</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60,5%</w:t>
            </w:r>
          </w:p>
        </w:tc>
      </w:tr>
      <w:tr>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Branca / Parda / Preta / Amarela</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56,9 / 36,2 / 4,8 / 2,0%</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48,9 / 42,7 / 7,7 / 0,6%</w:t>
            </w:r>
          </w:p>
        </w:tc>
      </w:tr>
      <w:tr>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Residentes no Sudeste</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49,1%</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98,7%</w:t>
            </w:r>
          </w:p>
        </w:tc>
      </w:tr>
    </w:tbl>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Nota de rodapé da Tabela 1: "Sexo, idade e raça/cor foram obtidos do arquivo APAC Medicamentos, no qual esses campos estavam completos. Os campos correspondentes da Produção Ambulatorial estavam ausentes para 468 pacientes (11,1%) sem correspondência nesse arquivo; entre os pacientes vinculados, a idade coincidiu entre os dois arquivos, com diferença de até um ano, em todos os casos."</w:t>
            </w:r>
          </w:p>
          <w:p>
            <w:pPr>
              <w:spacing w:after="120"/>
            </w:pPr>
            <w:r>
              <w:t xml:space="preserve">Métodos ou Limitações: "A ausência dos dados demográficos na Produção Ambulatorial esteve associada à falta de correspondência e concentrou-se no Sudeste (98,7%). Os pacientes sem correspondência tinham idade e sexo semelhantes aos demais, mas maior proporção de pardos e pretos; por isso, usamos os campos completos do arquivo APAC Medicamentos, evitando superestimar a proporção de pacientes brancos."</w:t>
            </w:r>
          </w:p>
        </w:tc>
      </w:tr>
    </w:tbl>
    <w:p>
      <w:pPr>
        <w:spacing w:after="60"/>
      </w:pPr>
    </w:p>
    <w:p>
      <w:pPr>
        <w:pStyle w:val="Heading2"/>
      </w:pPr>
      <w:bookmarkStart w:name="_Toc19" w:id="19"/>
      <w:r>
        <w:t xml:space="preserve">5d – Afirmação sobre recuperar todas as dispensações</w:t>
      </w:r>
      <w:bookmarkEnd w:id="19"/>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Os Métodos afirmam que a ligação com a base completa de Produção Ambulatorial permitiu recuperar todas as dispensações de medicamento registradas. Isso é inconsistente com a Figura 1, que exclui 489 autorizações da Produção Ambulatorial sem correspondência em APAC Medicamentos. Revisar a afirmação.</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Os registros de dispensação vêm do AM; o PA fornece as quantidades e os valores de cada procedimento e os outros medicamentos do estudo dispensados na mesma APAC. O fluxograma mostra a exclusão das 613 chaves (489 autorizações) do PA sem correspondência no AM.</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figure1_flowchart_data_linkage.xlsx</w:t>
      </w:r>
      <w:r>
        <w:t xml:space="preserve">, linhas 3c e 3d.</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Métodos: "Os registros de dispensação foram obtidos do arquivo APAC Medicamentos. A ligação com o arquivo de Produção Ambulatorial forneceu as quantidades e os valores de cada procedimento de medicamento e os demais medicamentos do estudo dispensados na mesma APAC. As 489 autorizações da Produção Ambulatorial sem correspondência em APAC Medicamentos não foram incluídas."</w:t>
            </w:r>
          </w:p>
        </w:tc>
      </w:tr>
    </w:tbl>
    <w:p>
      <w:pPr>
        <w:spacing w:after="60"/>
      </w:pPr>
    </w:p>
    <w:p>
      <w:pPr>
        <w:pStyle w:val="Heading1"/>
        <w:pageBreakBefore/>
      </w:pPr>
      <w:bookmarkStart w:name="_Toc20" w:id="20"/>
      <w:r>
        <w:t xml:space="preserve">Item 6 – Período dos dados, software e Resumo</w:t>
      </w:r>
      <w:bookmarkEnd w:id="20"/>
    </w:p>
    <w:p>
      <w:pPr>
        <w:pStyle w:val="Heading2"/>
      </w:pPr>
      <w:bookmarkStart w:name="_Toc21" w:id="21"/>
      <w:r>
        <w:t xml:space="preserve">6a – Janela de extração e período do estudo</w:t>
      </w:r>
      <w:bookmarkEnd w:id="21"/>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Informar a janela completa de extração, o campo de data usado para definir o período de 2024 e se as autorizações com competência de 2024 processadas em 2025 foram capturadas.</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Nova seção </w:t>
      </w:r>
      <w:r>
        <w:rPr>
          <w:b/>
          <w:bCs/>
        </w:rPr>
        <w:t xml:space="preserve">5.1 – Janela de extração e período do estudo</w:t>
      </w:r>
      <w:r>
        <w:t xml:space="preserve"> nos dois notebooks.</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extraction_window.xlsx</w:t>
      </w:r>
      <w:r>
        <w:t xml:space="preserve">, aba </w:t>
      </w:r>
      <w:r>
        <w:rPr>
          <w:rFonts w:ascii="Consolas" w:cs="Consolas" w:eastAsia="Consolas" w:hAnsi="Consolas"/>
          <w:sz w:val="19"/>
          <w:szCs w:val="19"/>
        </w:rPr>
        <w:t xml:space="preserve">extraction_window</w:t>
      </w:r>
      <w:r>
        <w:t xml:space="preserve">: meses de processamento extraídos, de 2023-01 a 2025-02 (AM e PA); campo do período: </w:t>
      </w:r>
      <w:r>
        <w:rPr>
          <w:rFonts w:ascii="Consolas" w:cs="Consolas" w:eastAsia="Consolas" w:hAnsi="Consolas"/>
          <w:sz w:val="19"/>
          <w:szCs w:val="19"/>
        </w:rPr>
        <w:t xml:space="preserve">AP_CMP</w:t>
      </w:r>
      <w:r>
        <w:t xml:space="preserve"> (competência), de 2024-01 a 2024-12; 38.952 registros de competência 2024 processados em 2024 e 41 processados em 2025 (capturados, em 2025-01 e 2025-02).</w:t>
      </w:r>
    </w:p>
    <w:p>
      <w:pPr>
        <w:pStyle w:val="ListParagraph"/>
        <w:numPr>
          <w:ilvl w:val="0"/>
          <w:numId w:val="2"/>
        </w:numPr>
        <w:spacing w:after="60"/>
      </w:pPr>
      <w:r>
        <w:t xml:space="preserve">Aba </w:t>
      </w:r>
      <w:r>
        <w:rPr>
          <w:rFonts w:ascii="Consolas" w:cs="Consolas" w:eastAsia="Consolas" w:hAnsi="Consolas"/>
          <w:sz w:val="19"/>
          <w:szCs w:val="19"/>
        </w:rPr>
        <w:t xml:space="preserve">records_by_processing_month</w:t>
      </w:r>
      <w:r>
        <w:t xml:space="preserve">: registros de competência 2024 por mês de processamento.</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Métodos: "Os arquivos mensais do SIASUS foram extraídos para os meses de processamento de janeiro de 2023 a fevereiro de 2025. O período do estudo foi definido pela data de competência (AP_CMP), de janeiro a dezembro de 2024. Autorizações com competência de 2024 processadas em janeiro e fevereiro de 2025 foram capturadas (41 registros); registros com competência de 2024 processados após fevereiro de 2025 não foram capturados."</w:t>
            </w:r>
          </w:p>
        </w:tc>
      </w:tr>
    </w:tbl>
    <w:p>
      <w:pPr>
        <w:spacing w:after="60"/>
      </w:pPr>
    </w:p>
    <w:p>
      <w:pPr>
        <w:pStyle w:val="Heading2"/>
      </w:pPr>
      <w:bookmarkStart w:name="_Toc22" w:id="22"/>
      <w:r>
        <w:t xml:space="preserve">6b – Descrição do software</w:t>
      </w:r>
      <w:bookmarkEnd w:id="22"/>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A descrição do software deve refletir o fluxo depositado: Python/PySUS foi usado para baixar os dados do DATASUS, e o R foi usado para preparação, análise e produção das figuras. Citar o software realmente usado.</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Nenhuma alteração de código necessária: o ajuste é apenas no texto do manuscrito.</w:t>
      </w:r>
    </w:p>
    <w:p>
      <w:pPr>
        <w:spacing w:after="80" w:before="200"/>
      </w:pPr>
      <w:r>
        <w:rPr>
          <w:b/>
          <w:bCs/>
          <w:color w:val="1F4E79"/>
          <w:sz w:val="22"/>
          <w:szCs w:val="22"/>
        </w:rPr>
        <w:t xml:space="preserve">Onde encontrar o resultado</w:t>
      </w:r>
    </w:p>
    <w:p>
      <w:pPr>
        <w:pStyle w:val="ListParagraph"/>
        <w:numPr>
          <w:ilvl w:val="0"/>
          <w:numId w:val="2"/>
        </w:numPr>
        <w:spacing w:after="60"/>
      </w:pPr>
      <w:r>
        <w:t xml:space="preserve">Versões usadas: Python com PySUS 1.0.1 e pandas 2.3.3 (</w:t>
      </w:r>
      <w:r>
        <w:rPr>
          <w:rFonts w:ascii="Consolas" w:cs="Consolas" w:eastAsia="Consolas" w:hAnsi="Consolas"/>
          <w:sz w:val="19"/>
          <w:szCs w:val="19"/>
        </w:rPr>
        <w:t xml:space="preserve">requirements.txt</w:t>
      </w:r>
      <w:r>
        <w:t xml:space="preserve">); R 4.6.0 com tidyverse 2.0.0, ggalluvial 0.12.6, ggsankey 0.0.99999, sf 1.1.3, geobr 2.1.0 e openxlsx 4.2.8.1.</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Métodos: "Os dados do DATASUS foram baixados com Python (PySUS 1.0.1; pandas 2.3.3). A preparação dos dados, as análises e as figuras foram feitas no R 4.6.0 (tidyverse 2.0.0, ggalluvial 0.12.6, ggsankey, sf 1.1.3 e geobr 2.1.0; openxlsx para exportar as tabelas)." Incluir as referências do PySUS, do R e dos pacotes.</w:t>
            </w:r>
          </w:p>
        </w:tc>
      </w:tr>
    </w:tbl>
    <w:p>
      <w:pPr>
        <w:spacing w:after="60"/>
      </w:pPr>
    </w:p>
    <w:p>
      <w:pPr>
        <w:pStyle w:val="Heading2"/>
      </w:pPr>
      <w:bookmarkStart w:name="_Toc23" w:id="23"/>
      <w:r>
        <w:t xml:space="preserve">6c – Resumo: descrição da ligação</w:t>
      </w:r>
      <w:bookmarkEnd w:id="23"/>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O Resumo diz que os registros foram ligados por um identificador do paciente. Segundo os Métodos e o código, a ligação usou o número da autorização, a data de competência e a data de processamento; o identificador do paciente foi usado para a deduplicação. Corrigir essa descrição.</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Nenhuma alteração de código necessária: o ajuste é apenas no texto do manuscrito.</w:t>
      </w:r>
    </w:p>
    <w:p>
      <w:pPr>
        <w:spacing w:after="80" w:before="200"/>
      </w:pPr>
      <w:r>
        <w:rPr>
          <w:b/>
          <w:bCs/>
          <w:color w:val="1F4E79"/>
          <w:sz w:val="22"/>
          <w:szCs w:val="22"/>
        </w:rPr>
        <w:t xml:space="preserve">Onde encontrar o resultado</w:t>
      </w:r>
    </w:p>
    <w:p>
      <w:pPr>
        <w:pStyle w:val="ListParagraph"/>
        <w:numPr>
          <w:ilvl w:val="0"/>
          <w:numId w:val="2"/>
        </w:numPr>
        <w:spacing w:after="60"/>
      </w:pPr>
      <w:r>
        <w:t xml:space="preserve">Ver item 5a.</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Resumo: "Os registros foram ligados em nível de autorização pelo número da autorização, pela data de competência e pela data de processamento, e os pacientes foram deduplicados pelo identificador criptografado do paciente."</w:t>
            </w:r>
          </w:p>
        </w:tc>
      </w:tr>
    </w:tbl>
    <w:p>
      <w:pPr>
        <w:spacing w:after="60"/>
      </w:pPr>
    </w:p>
    <w:p>
      <w:pPr>
        <w:pStyle w:val="Heading2"/>
      </w:pPr>
      <w:bookmarkStart w:name="_Toc24" w:id="24"/>
      <w:r>
        <w:t xml:space="preserve">6d – Resumo: nome das bases</w:t>
      </w:r>
      <w:bookmarkEnd w:id="24"/>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De acordo com o item 1.1 do RECORD, nomear as bases que compõem o estudo no Resumo, se o limite de palavras permitir: APAC Medicamentos e Produção Ambulatorial, do Sistema de Informações Ambulatoriais do SUS.</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Nenhuma alteração de código necessária: o ajuste é apenas no texto do manuscrito.</w:t>
      </w:r>
    </w:p>
    <w:p>
      <w:pPr>
        <w:spacing w:after="80" w:before="200"/>
      </w:pPr>
      <w:r>
        <w:rPr>
          <w:b/>
          <w:bCs/>
          <w:color w:val="1F4E79"/>
          <w:sz w:val="22"/>
          <w:szCs w:val="22"/>
        </w:rPr>
        <w:t xml:space="preserve">Onde encontrar o resultado</w:t>
      </w:r>
    </w:p>
    <w:p>
      <w:pPr>
        <w:pStyle w:val="ListParagraph"/>
        <w:numPr>
          <w:ilvl w:val="0"/>
          <w:numId w:val="2"/>
        </w:numPr>
        <w:spacing w:after="60"/>
      </w:pPr>
      <w:r>
        <w:t xml:space="preserve">—</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Resumo: "...a partir das bases APAC Medicamentos e Produção Ambulatorial do Sistema de Informações Ambulatoriais do SUS (SIASUS)..."</w:t>
            </w:r>
          </w:p>
        </w:tc>
      </w:tr>
    </w:tbl>
    <w:p>
      <w:pPr>
        <w:spacing w:after="60"/>
      </w:pPr>
    </w:p>
    <w:p>
      <w:pPr>
        <w:pStyle w:val="Heading1"/>
        <w:pageBreakBefore/>
      </w:pPr>
      <w:bookmarkStart w:name="_Toc25" w:id="25"/>
      <w:r>
        <w:t xml:space="preserve">Item 7 – Inconsistências internas restantes</w:t>
      </w:r>
      <w:bookmarkEnd w:id="25"/>
    </w:p>
    <w:p>
      <w:pPr>
        <w:pStyle w:val="Heading2"/>
      </w:pPr>
      <w:bookmarkStart w:name="_Toc26" w:id="26"/>
      <w:r>
        <w:t xml:space="preserve">7a – Denominador dos percentuais de idade</w:t>
      </w:r>
      <w:bookmarkEnd w:id="26"/>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Na Tabela 1, informar se os percentuais de idade usam a coorte completa ou só os pacientes com idade conhecida. A afirmação de que cerca de um terço tinha 60 anos ou mais corresponde a 32,5% da coorte completa, mas a 36,6% dos pacientes com idade conhecida. O denominador deve ser informado de forma consistente.</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Seção </w:t>
      </w:r>
      <w:r>
        <w:rPr>
          <w:b/>
          <w:bCs/>
        </w:rPr>
        <w:t xml:space="preserve">6.2 – Análise por Idade</w:t>
      </w:r>
      <w:r>
        <w:t xml:space="preserve"> reescrita: a tabela traz as colunas de percentual sobre a coorte completa e sobre a idade conhecida e uma linha com o subtotal de 60 anos ou mais. Como a idade agora vem do AM (item 5c), não há idade ausente e os dois denominadores são iguais.</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age.xlsx</w:t>
      </w:r>
      <w:r>
        <w:t xml:space="preserve">, aba </w:t>
      </w:r>
      <w:r>
        <w:rPr>
          <w:rFonts w:ascii="Consolas" w:cs="Consolas" w:eastAsia="Consolas" w:hAnsi="Consolas"/>
          <w:sz w:val="19"/>
          <w:szCs w:val="19"/>
        </w:rPr>
        <w:t xml:space="preserve">Patients by age</w:t>
      </w:r>
      <w:r>
        <w:t xml:space="preserve">: 1.552 pacientes com 60 anos ou mais, ou seja, 36,7% da coorte (n = 4.231, todos com idade conhecida).</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Resultados: "Mais de um terço dos 4.231 pacientes (36,7%) tinha 60 anos ou mais." No cabeçalho da Tabela 1, informar que os percentuais usam como denominador a coorte completa (n = 4.231).</w:t>
            </w:r>
          </w:p>
        </w:tc>
      </w:tr>
    </w:tbl>
    <w:p>
      <w:pPr>
        <w:spacing w:after="60"/>
      </w:pPr>
    </w:p>
    <w:p>
      <w:pPr>
        <w:pStyle w:val="Heading2"/>
      </w:pPr>
      <w:bookmarkStart w:name="_Toc27" w:id="27"/>
      <w:r>
        <w:t xml:space="preserve">7b – Rótulo "&gt;80"</w:t>
      </w:r>
      <w:bookmarkEnd w:id="27"/>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Substituir "&gt;80" por "≥80", para concordar com "80 anos ou mais".</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O rótulo mudou para "≥ 80 anos" na tabela de idade (seção 6.2) e na pirâmide etária (seção 6.3).</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age.xlsx</w:t>
      </w:r>
      <w:r>
        <w:t xml:space="preserve"> e </w:t>
      </w:r>
      <w:r>
        <w:rPr>
          <w:rFonts w:ascii="Consolas" w:cs="Consolas" w:eastAsia="Consolas" w:hAnsi="Consolas"/>
          <w:sz w:val="19"/>
          <w:szCs w:val="19"/>
        </w:rPr>
        <w:t xml:space="preserve">age_pyramid.png</w:t>
      </w:r>
      <w:r>
        <w:t xml:space="preserve">.</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Na Tabela 1, usar "≥80".</w:t>
            </w:r>
          </w:p>
        </w:tc>
      </w:tr>
    </w:tbl>
    <w:p>
      <w:pPr>
        <w:spacing w:after="60"/>
      </w:pPr>
    </w:p>
    <w:p>
      <w:pPr>
        <w:pStyle w:val="Heading2"/>
      </w:pPr>
      <w:bookmarkStart w:name="_Toc28" w:id="28"/>
      <w:r>
        <w:t xml:space="preserve">7c – Total da Tabela 4 e categorias mutuamente exclusivas</w:t>
      </w:r>
      <w:bookmarkEnd w:id="28"/>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Conciliar o total da Tabela 4 com o denominador corrigido de pacientes. Descrever as categorias de medicamento como mutuamente exclusivas, por exemplo: octreotida sem lanreotida, lanreotida sem octreotida e ambos os análogos. A afirmação de que 1.614 pacientes "usavam octreotida" exclui os pacientes registrados com os dois análogos e, por isso, é enganosa.</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Nova seção </w:t>
      </w:r>
      <w:r>
        <w:rPr>
          <w:b/>
          <w:bCs/>
        </w:rPr>
        <w:t xml:space="preserve">7.2.1 – Categorias mutuamente exclusivas por princípio ativo (Tabela 4)</w:t>
      </w:r>
      <w:r>
        <w:t xml:space="preserve"> nos dois notebooks. O total é validado contra a coorte (4.231).</w:t>
      </w:r>
    </w:p>
    <w:p>
      <w:pPr>
        <w:pStyle w:val="ListParagraph"/>
        <w:numPr>
          <w:ilvl w:val="0"/>
          <w:numId w:val="2"/>
        </w:numPr>
        <w:spacing w:after="60"/>
      </w:pPr>
      <w:r>
        <w:t xml:space="preserve">As categorias consideram o </w:t>
      </w:r>
      <w:r>
        <w:rPr>
          <w:rFonts w:ascii="Consolas" w:cs="Consolas" w:eastAsia="Consolas" w:hAnsi="Consolas"/>
          <w:sz w:val="19"/>
          <w:szCs w:val="19"/>
        </w:rPr>
        <w:t xml:space="preserve">AP_PRIPAL</w:t>
      </w:r>
      <w:r>
        <w:t xml:space="preserve"> e os outros medicamentos do estudo dispensados na mesma APAC (ver "Correções adicionais").</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table4_medication_categories.xlsx</w:t>
      </w:r>
      <w:r>
        <w:t xml:space="preserve">, aba </w:t>
      </w:r>
      <w:r>
        <w:rPr>
          <w:rFonts w:ascii="Consolas" w:cs="Consolas" w:eastAsia="Consolas" w:hAnsi="Consolas"/>
          <w:sz w:val="19"/>
          <w:szCs w:val="19"/>
        </w:rPr>
        <w:t xml:space="preserve">analogues_mutually_exclusive</w:t>
      </w:r>
      <w:r>
        <w:t xml:space="preserve">: tabela abaixo.</w:t>
      </w:r>
    </w:p>
    <w:p>
      <w:pPr>
        <w:pStyle w:val="ListParagraph"/>
        <w:numPr>
          <w:ilvl w:val="0"/>
          <w:numId w:val="2"/>
        </w:numPr>
        <w:spacing w:after="60"/>
      </w:pPr>
      <w:r>
        <w:t xml:space="preserve">Aba </w:t>
      </w:r>
      <w:r>
        <w:rPr>
          <w:rFonts w:ascii="Consolas" w:cs="Consolas" w:eastAsia="Consolas" w:hAnsi="Consolas"/>
          <w:sz w:val="19"/>
          <w:szCs w:val="19"/>
        </w:rPr>
        <w:t xml:space="preserve">exclusive_combinations</w:t>
      </w:r>
      <w:r>
        <w:t xml:space="preserve">: as 7 combinações possíveis de princípios ativos.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6"/>
        <w:gridCol w:w="1800"/>
        <w:gridCol w:w="1800"/>
        <w:gridCol w:w="2100"/>
      </w:tblGrid>
      <w:tr>
        <w:trPr>
          <w:tblHeader/>
        </w:trPr>
        <w:tc>
          <w:tcPr>
            <w:tcW w:type="dxa" w:w="3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Categoria</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Sem cabergolina</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Com cabergolina</w:t>
            </w:r>
          </w:p>
        </w:tc>
        <w:tc>
          <w:tcPr>
            <w:tcW w:type="dxa" w:w="2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Total (%)</w:t>
            </w:r>
          </w:p>
        </w:tc>
      </w:tr>
      <w:tr>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Octreotida sem lanreotida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1.313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446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1.759 (41,6%)</w:t>
            </w:r>
          </w:p>
        </w:tc>
      </w:tr>
      <w:tr>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Lanreotida sem octreotida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776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424</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1.200 (28,4%)</w:t>
            </w:r>
          </w:p>
        </w:tc>
      </w:tr>
      <w:tr>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Ambos os análogos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39</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84 (2,0%)</w:t>
            </w:r>
          </w:p>
        </w:tc>
      </w:tr>
      <w:tr>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Sem análogo (apenas cabergolina)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1.188</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1.188 (28,1%)</w:t>
            </w:r>
          </w:p>
        </w:tc>
      </w:tr>
      <w:tr>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Total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4.231 (100%)</w:t>
            </w:r>
          </w:p>
        </w:tc>
      </w:tr>
    </w:tbl>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Resultados: "Durante 2024, 1.759 pacientes receberam octreotida sem lanreotida, 1.200 receberam lanreotida sem octreotida e 84 receberam os dois análogos; 1.188 receberam apenas cabergolina."</w:t>
            </w:r>
          </w:p>
        </w:tc>
      </w:tr>
    </w:tbl>
    <w:p>
      <w:pPr>
        <w:spacing w:after="60"/>
      </w:pPr>
    </w:p>
    <w:p>
      <w:pPr>
        <w:pStyle w:val="Heading2"/>
      </w:pPr>
      <w:bookmarkStart w:name="_Toc29" w:id="29"/>
      <w:r>
        <w:t xml:space="preserve">7d – Definição da população do estudo</w:t>
      </w:r>
      <w:bookmarkEnd w:id="29"/>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Definir a população do estudo de forma consistente, como pacientes que receberam os três medicamentos incluídos na análise. Não é necessária nova análise de pasireotida ou pegvisomanto, mas o manuscrito não deve sugerir que capturou todos os pacientes tratados farmacologicamente se esses medicamentos estavam fora da definição operacional.</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Nenhuma alteração de código necessária. A lista completa de medicamentos incluídos está na tabela SIGTAP (item 8a).</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sigtap_codes.xlsx</w:t>
      </w:r>
      <w:r>
        <w:t xml:space="preserve">.</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Usar em todo o texto: "pacientes com acromegalia que receberam octreotida, lanreotida ou cabergolina pelo SUS em 2024". Nas Limitações: "Pasireotida e pegvisomanto estavam fora da definição operacional; portanto, a coorte não representa todos os pacientes tratados farmacologicamente."</w:t>
            </w:r>
          </w:p>
        </w:tc>
      </w:tr>
    </w:tbl>
    <w:p>
      <w:pPr>
        <w:spacing w:after="60"/>
      </w:pPr>
    </w:p>
    <w:p>
      <w:pPr>
        <w:pStyle w:val="Heading2"/>
      </w:pPr>
      <w:bookmarkStart w:name="_Toc30" w:id="30"/>
      <w:r>
        <w:t xml:space="preserve">7e – Medidas de tendência central e dispersão</w:t>
      </w:r>
      <w:bookmarkEnd w:id="30"/>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Excluir a afirmação de que foram calculadas medidas de tendência central e dispersão, a menos que esses resultados sejam apresentados.</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A seção </w:t>
      </w:r>
      <w:r>
        <w:rPr>
          <w:b/>
          <w:bCs/>
        </w:rPr>
        <w:t xml:space="preserve">6.2</w:t>
      </w:r>
      <w:r>
        <w:t xml:space="preserve"> passou a calcular mediana, IIQ, média e desvio-padrão da idade.</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age.xlsx</w:t>
      </w:r>
      <w:r>
        <w:t xml:space="preserve">, aba </w:t>
      </w:r>
      <w:r>
        <w:rPr>
          <w:rFonts w:ascii="Consolas" w:cs="Consolas" w:eastAsia="Consolas" w:hAnsi="Consolas"/>
          <w:sz w:val="19"/>
          <w:szCs w:val="19"/>
        </w:rPr>
        <w:t xml:space="preserve">Numeric summary</w:t>
      </w:r>
      <w:r>
        <w:t xml:space="preserve">: n = 4.231; mediana de 54 anos (IIQ 44–65); média de 54,1 anos (DP 14,6).</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Apresentar na Tabela 1 ou no texto: "Idade mediana de 54 anos (IIQ 44–65)." Se não for apresentar, excluir a frase sobre medidas de tendência central e dispersão.</w:t>
            </w:r>
          </w:p>
        </w:tc>
      </w:tr>
    </w:tbl>
    <w:p>
      <w:pPr>
        <w:spacing w:after="60"/>
      </w:pPr>
    </w:p>
    <w:p>
      <w:pPr>
        <w:pStyle w:val="Heading2"/>
      </w:pPr>
      <w:bookmarkStart w:name="_Toc31" w:id="31"/>
      <w:r>
        <w:t xml:space="preserve">7f – Nome do Componente Especializado</w:t>
      </w:r>
      <w:bookmarkEnd w:id="31"/>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Uniformizar "Specialized Component of Pharmaceutical Services" e "Specialized Component of Pharmaceutical Assistance".</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Nenhuma alteração de código necessária: o ajuste é apenas no texto do manuscrito.</w:t>
      </w:r>
    </w:p>
    <w:p>
      <w:pPr>
        <w:spacing w:after="80" w:before="200"/>
      </w:pPr>
      <w:r>
        <w:rPr>
          <w:b/>
          <w:bCs/>
          <w:color w:val="1F4E79"/>
          <w:sz w:val="22"/>
          <w:szCs w:val="22"/>
        </w:rPr>
        <w:t xml:space="preserve">Onde encontrar o resultado</w:t>
      </w:r>
    </w:p>
    <w:p>
      <w:pPr>
        <w:pStyle w:val="ListParagraph"/>
        <w:numPr>
          <w:ilvl w:val="0"/>
          <w:numId w:val="2"/>
        </w:numPr>
        <w:spacing w:after="60"/>
      </w:pPr>
      <w:r>
        <w:t xml:space="preserve">—</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Usar sempre a mesma tradução para o Componente Especializado da Assistência Farmacêutica (CEAF); sugerimos "Specialized Component of Pharmaceutical Assistance (CEAF)".</w:t>
            </w:r>
          </w:p>
        </w:tc>
      </w:tr>
    </w:tbl>
    <w:p>
      <w:pPr>
        <w:spacing w:after="60"/>
      </w:pPr>
    </w:p>
    <w:p>
      <w:pPr>
        <w:pStyle w:val="Heading2"/>
      </w:pPr>
      <w:bookmarkStart w:name="_Toc32" w:id="32"/>
      <w:r>
        <w:t xml:space="preserve">7g – Resolução 466/2012</w:t>
      </w:r>
      <w:bookmarkEnd w:id="32"/>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Atribuir a Resolução 466/2012 de forma consistente ao Conselho Nacional de Saúde.</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Nenhuma alteração de código necessária: o ajuste é apenas no texto do manuscrito.</w:t>
      </w:r>
    </w:p>
    <w:p>
      <w:pPr>
        <w:spacing w:after="80" w:before="200"/>
      </w:pPr>
      <w:r>
        <w:rPr>
          <w:b/>
          <w:bCs/>
          <w:color w:val="1F4E79"/>
          <w:sz w:val="22"/>
          <w:szCs w:val="22"/>
        </w:rPr>
        <w:t xml:space="preserve">Onde encontrar o resultado</w:t>
      </w:r>
    </w:p>
    <w:p>
      <w:pPr>
        <w:pStyle w:val="ListParagraph"/>
        <w:numPr>
          <w:ilvl w:val="0"/>
          <w:numId w:val="2"/>
        </w:numPr>
        <w:spacing w:after="60"/>
      </w:pPr>
      <w:r>
        <w:t xml:space="preserve">—</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Usar sempre: "Resolução nº 466/2012 do Conselho Nacional de Saúde".</w:t>
            </w:r>
          </w:p>
        </w:tc>
      </w:tr>
    </w:tbl>
    <w:p>
      <w:pPr>
        <w:spacing w:after="60"/>
      </w:pPr>
    </w:p>
    <w:p>
      <w:pPr>
        <w:pStyle w:val="Heading1"/>
        <w:pageBreakBefore/>
      </w:pPr>
      <w:bookmarkStart w:name="_Toc33" w:id="33"/>
      <w:r>
        <w:t xml:space="preserve">Item 8 – Relato, referências e acessibilidade</w:t>
      </w:r>
      <w:bookmarkEnd w:id="33"/>
    </w:p>
    <w:p>
      <w:pPr>
        <w:pStyle w:val="Heading2"/>
      </w:pPr>
      <w:bookmarkStart w:name="_Toc34" w:id="34"/>
      <w:r>
        <w:t xml:space="preserve">8a – Lista completa dos códigos SIGTAP</w:t>
      </w:r>
      <w:bookmarkEnd w:id="34"/>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Apresentar a lista completa dos códigos de procedimento de medicamento do SIGTAP no manuscrito ou em uma tabela suplementar curta.</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A seção </w:t>
      </w:r>
      <w:r>
        <w:rPr>
          <w:b/>
          <w:bCs/>
        </w:rPr>
        <w:t xml:space="preserve">7.1 – Dicionário de Medicamentos SIGTAP</w:t>
      </w:r>
      <w:r>
        <w:t xml:space="preserve"> passou a exportar a tabela com o código formatado, o princípio ativo, a descrição e as contagens de 2024.</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sigtap_codes.xlsx</w:t>
      </w:r>
      <w:r>
        <w:t xml:space="preserve">: os 8 códigos (tabela abaixo).</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826"/>
        <w:gridCol w:w="1500"/>
        <w:gridCol w:w="150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Código SIGTAP</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Princípio ativo</w:t>
            </w:r>
          </w:p>
        </w:tc>
        <w:tc>
          <w:tcPr>
            <w:tcW w:type="dxa" w:w="2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Descrição</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Registros 2024</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Pacientes 2024</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06.04.03.003-7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Cabergolina</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Cabergolina 0,5 mg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17.624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2.097</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06.04.29.006-3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Lanreotida</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Lanreotida 60 mg injetável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385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54</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06.04.29.007-1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Lanreotida</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Lanreotida 90 mg injetável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2.560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338</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06.04.29.008-0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Lanreotida</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Lanreotida 120 mg injetável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8.226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976</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06.04.29.001-2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Octreotida</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Octreotida LAR 10 mg injetável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711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90</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06.04.29.002-0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Octreotida</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Octreotida LAR 20 mg injetável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7.359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885</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06.04.29.003-9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Octreotida</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Octreotida LAR 30 mg injetável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8.996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1.023</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06.04.29.004-7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Octreotida</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Octreotida 0,1 mg/mL injetável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w:t>
            </w:r>
          </w:p>
        </w:tc>
      </w:tr>
    </w:tbl>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Incluir como Tabela Suplementar S1 e citar nos Métodos: "Os oito códigos de procedimento do SIGTAP estão listados na Tabela Suplementar S1."</w:t>
            </w:r>
          </w:p>
        </w:tc>
      </w:tr>
    </w:tbl>
    <w:p>
      <w:pPr>
        <w:spacing w:after="60"/>
      </w:pPr>
    </w:p>
    <w:p>
      <w:pPr>
        <w:pStyle w:val="Heading2"/>
      </w:pPr>
      <w:bookmarkStart w:name="_Toc35" w:id="35"/>
      <w:r>
        <w:t xml:space="preserve">8b – Checklist RECORD</w:t>
      </w:r>
      <w:bookmarkEnd w:id="35"/>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Atualizar o checklist RECORD depois de corrigir as análises. O item 10 deve ser tratado explicitamente no manuscrito, informando que não houve cálculo de tamanho amostral porque todos os registros elegíveis foram incluídos. O item 12.3 deve distinguir a ligação em nível de autorização da deduplicação em nível de paciente. No item 19, discutir a direção e a magnitude prováveis dos vieses identificados, quando puderem ser avaliadas empiricamente, sobretudo os relacionados a identificadores, residência e informações demográficas ausentes; quando a direção não puder ser estabelecida, dizer isso explicitamente.</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Nenhuma alteração adicional: as evidências para o item 19 vêm das seções 4.1, 5.2, 6.2.1 e 6.7.</w:t>
      </w:r>
    </w:p>
    <w:p>
      <w:pPr>
        <w:spacing w:after="80" w:before="200"/>
      </w:pPr>
      <w:r>
        <w:rPr>
          <w:b/>
          <w:bCs/>
          <w:color w:val="1F4E79"/>
          <w:sz w:val="22"/>
          <w:szCs w:val="22"/>
        </w:rPr>
        <w:t xml:space="preserve">Onde encontrar o resultado</w:t>
      </w:r>
    </w:p>
    <w:p>
      <w:pPr>
        <w:pStyle w:val="ListParagraph"/>
        <w:numPr>
          <w:ilvl w:val="0"/>
          <w:numId w:val="2"/>
        </w:numPr>
        <w:spacing w:after="60"/>
      </w:pPr>
      <w:r>
        <w:t xml:space="preserve">Identificadores ausentes: </w:t>
      </w:r>
      <w:r>
        <w:rPr>
          <w:rFonts w:ascii="Consolas" w:cs="Consolas" w:eastAsia="Consolas" w:hAnsi="Consolas"/>
          <w:sz w:val="19"/>
          <w:szCs w:val="19"/>
        </w:rPr>
        <w:t xml:space="preserve">exclusion_missing_patient_id.xlsx</w:t>
      </w:r>
      <w:r>
        <w:t xml:space="preserve">.</w:t>
      </w:r>
    </w:p>
    <w:p>
      <w:pPr>
        <w:pStyle w:val="ListParagraph"/>
        <w:numPr>
          <w:ilvl w:val="0"/>
          <w:numId w:val="2"/>
        </w:numPr>
        <w:spacing w:after="60"/>
      </w:pPr>
      <w:r>
        <w:t xml:space="preserve">Residência: </w:t>
      </w:r>
      <w:r>
        <w:rPr>
          <w:rFonts w:ascii="Consolas" w:cs="Consolas" w:eastAsia="Consolas" w:hAnsi="Consolas"/>
          <w:sz w:val="19"/>
          <w:szCs w:val="19"/>
        </w:rPr>
        <w:t xml:space="preserve">geography_residence_rates.xlsx</w:t>
      </w:r>
      <w:r>
        <w:t xml:space="preserve">.</w:t>
      </w:r>
    </w:p>
    <w:p>
      <w:pPr>
        <w:pStyle w:val="ListParagraph"/>
        <w:numPr>
          <w:ilvl w:val="0"/>
          <w:numId w:val="2"/>
        </w:numPr>
        <w:spacing w:after="60"/>
      </w:pPr>
      <w:r>
        <w:t xml:space="preserve">Dados demográficos: </w:t>
      </w:r>
      <w:r>
        <w:rPr>
          <w:rFonts w:ascii="Consolas" w:cs="Consolas" w:eastAsia="Consolas" w:hAnsi="Consolas"/>
          <w:sz w:val="19"/>
          <w:szCs w:val="19"/>
        </w:rPr>
        <w:t xml:space="preserve">missing_demographics_linkage.xlsx</w:t>
      </w:r>
      <w:r>
        <w:t xml:space="preserve">.</w:t>
      </w:r>
    </w:p>
    <w:p>
      <w:pPr>
        <w:pStyle w:val="ListParagraph"/>
        <w:numPr>
          <w:ilvl w:val="0"/>
          <w:numId w:val="2"/>
        </w:numPr>
        <w:spacing w:after="60"/>
      </w:pPr>
      <w:r>
        <w:t xml:space="preserve">Diagnóstico: </w:t>
      </w:r>
      <w:r>
        <w:rPr>
          <w:rFonts w:ascii="Consolas" w:cs="Consolas" w:eastAsia="Consolas" w:hAnsi="Consolas"/>
          <w:sz w:val="19"/>
          <w:szCs w:val="19"/>
        </w:rPr>
        <w:t xml:space="preserve">case_definition_icd.xlsx</w:t>
      </w:r>
      <w:r>
        <w:t xml:space="preserve">.</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Item 10 (Métodos): "Não foi realizado cálculo de tamanho amostral, pois foram incluídos todos os registros elegíveis da base nacional em 2024."</w:t>
            </w:r>
          </w:p>
          <w:p>
            <w:pPr>
              <w:spacing w:after="120"/>
            </w:pPr>
            <w:r>
              <w:t xml:space="preserve">Item 12.3: "A ligação dos registros de APAC Medicamentos e Produção Ambulatorial foi feita em nível de autorização, usando o número da autorização, o mês de competência e o mês de processamento (um-para-um, após agregar a Produção Ambulatorial em uma linha por chave). A deduplicação em nível de paciente usou o identificador criptografado do paciente e foi feita depois da ligação."</w:t>
            </w:r>
          </w:p>
          <w:p>
            <w:pPr>
              <w:spacing w:after="120"/>
            </w:pPr>
            <w:r>
              <w:t xml:space="preserve">Item 19 – Identificadores ausentes: "Foram excluídos 434 registros (1,1% dos registros de 2024). Não é possível saber quantos pacientes eles representam; a direção do viés é indeterminada e a magnitude, no máximo, pequena."</w:t>
            </w:r>
          </w:p>
          <w:p>
            <w:pPr>
              <w:spacing w:after="120"/>
            </w:pPr>
            <w:r>
              <w:t xml:space="preserve">Item 19 – Residência: "A residência estava completa no arquivo APAC Medicamentos, e 0,45% dos pacientes foram dispensados fora da região de residência. As contagens por estabelecimento superestimam levemente o Sudeste (+11 pacientes) e o Distrito Federal (+8)."</w:t>
            </w:r>
          </w:p>
          <w:p>
            <w:pPr>
              <w:spacing w:after="120"/>
            </w:pPr>
            <w:r>
              <w:t xml:space="preserve">Item 19 – Dados demográficos: "A perda foi evitada com o uso dos campos completos do arquivo APAC Medicamentos. Os campos da Produção Ambulatorial estariam ausentes para 11,1% dos pacientes, uma perda ligada à falta de correspondência e concentrada no Sudeste (98,7%), que superestimaria pacientes brancos (56,9% entre os vinculados contra 48,9% entre os não vinculados). Não houve diferença relevante de idade ou sexo."</w:t>
            </w:r>
          </w:p>
          <w:p>
            <w:pPr>
              <w:spacing w:after="120"/>
            </w:pPr>
            <w:r>
              <w:t xml:space="preserve">Item 19 – Diagnóstico: "Na ausência de estudo de validação, não é possível estabelecer a direção de um eventual erro de classificação diagnóstica."</w:t>
            </w:r>
          </w:p>
        </w:tc>
      </w:tr>
    </w:tbl>
    <w:p>
      <w:pPr>
        <w:spacing w:after="60"/>
      </w:pPr>
    </w:p>
    <w:p>
      <w:pPr>
        <w:pStyle w:val="Heading2"/>
      </w:pPr>
      <w:bookmarkStart w:name="_Toc36" w:id="36"/>
      <w:r>
        <w:t xml:space="preserve">8c – Parâmetros utm_source nas referências</w:t>
      </w:r>
      <w:bookmarkEnd w:id="36"/>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Remover os parâmetros utm_source=chatgpt.com presentes nos links das Referências 8, 23 e 26 e verificar os URLs finais das fontes.</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Nenhuma alteração de código necessária: o ajuste é apenas no texto do manuscrito.</w:t>
      </w:r>
    </w:p>
    <w:p>
      <w:pPr>
        <w:spacing w:after="80" w:before="200"/>
      </w:pPr>
      <w:r>
        <w:rPr>
          <w:b/>
          <w:bCs/>
          <w:color w:val="1F4E79"/>
          <w:sz w:val="22"/>
          <w:szCs w:val="22"/>
        </w:rPr>
        <w:t xml:space="preserve">Onde encontrar o resultado</w:t>
      </w:r>
    </w:p>
    <w:p>
      <w:pPr>
        <w:pStyle w:val="ListParagraph"/>
        <w:numPr>
          <w:ilvl w:val="0"/>
          <w:numId w:val="2"/>
        </w:numPr>
        <w:spacing w:after="60"/>
      </w:pPr>
      <w:r>
        <w:t xml:space="preserve">—</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Nas Referências 8, 23 e 26, apagar </w:t>
            </w:r>
            <w:r>
              <w:rPr>
                <w:rFonts w:ascii="Consolas" w:cs="Consolas" w:eastAsia="Consolas" w:hAnsi="Consolas"/>
                <w:sz w:val="19"/>
                <w:szCs w:val="19"/>
              </w:rPr>
              <w:t xml:space="preserve">?utm_source=chatgpt.com</w:t>
            </w:r>
            <w:r>
              <w:t xml:space="preserve"> (ou </w:t>
            </w:r>
            <w:r>
              <w:rPr>
                <w:rFonts w:ascii="Consolas" w:cs="Consolas" w:eastAsia="Consolas" w:hAnsi="Consolas"/>
                <w:sz w:val="19"/>
                <w:szCs w:val="19"/>
              </w:rPr>
              <w:t xml:space="preserve">&amp;utm_source=chatgpt.com</w:t>
            </w:r>
            <w:r>
              <w:t xml:space="preserve">) do fim de cada URL e abrir cada link para conferir se leva à fonte final.</w:t>
            </w:r>
          </w:p>
        </w:tc>
      </w:tr>
    </w:tbl>
    <w:p>
      <w:pPr>
        <w:spacing w:after="60"/>
      </w:pPr>
    </w:p>
    <w:p>
      <w:pPr>
        <w:pStyle w:val="Heading2"/>
      </w:pPr>
      <w:bookmarkStart w:name="_Toc37" w:id="37"/>
      <w:r>
        <w:t xml:space="preserve">8d – Texto alternativo das figuras</w:t>
      </w:r>
      <w:bookmarkEnd w:id="37"/>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Substituir os textos alternativos mínimos das figuras ("Flowchart" e "Alluvial diagram") por descrições substantivas da informação apresentada em cada figura.</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Nenhuma alteração adicional. Os números dos textos abaixo vêm de </w:t>
      </w:r>
      <w:r>
        <w:rPr>
          <w:rFonts w:ascii="Consolas" w:cs="Consolas" w:eastAsia="Consolas" w:hAnsi="Consolas"/>
          <w:sz w:val="19"/>
          <w:szCs w:val="19"/>
        </w:rPr>
        <w:t xml:space="preserve">figure1_flowchart_data_linkage.xlsx</w:t>
      </w:r>
      <w:r>
        <w:t xml:space="preserve"> e </w:t>
      </w:r>
      <w:r>
        <w:rPr>
          <w:rFonts w:ascii="Consolas" w:cs="Consolas" w:eastAsia="Consolas" w:hAnsi="Consolas"/>
          <w:sz w:val="19"/>
          <w:szCs w:val="19"/>
        </w:rPr>
        <w:t xml:space="preserve">figure2_recorded_monthly_dispensing_data.xlsx</w:t>
      </w:r>
      <w:r>
        <w:t xml:space="preserve">.</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figure1_flowchart_data_linkage.xlsx</w:t>
      </w:r>
      <w:r>
        <w:t xml:space="preserve"> e </w:t>
      </w:r>
      <w:r>
        <w:rPr>
          <w:rFonts w:ascii="Consolas" w:cs="Consolas" w:eastAsia="Consolas" w:hAnsi="Consolas"/>
          <w:sz w:val="19"/>
          <w:szCs w:val="19"/>
        </w:rPr>
        <w:t xml:space="preserve">figure2_recorded_monthly_dispensing_data.xlsx</w:t>
      </w:r>
      <w:r>
        <w:t xml:space="preserve">.</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Figura 1: "Fluxograma da construção da base. 84.042 registros de dispensação de APAC Medicamentos (39.254 autorizações) foram ligados em nível de autorização a 75.377 chaves autorização-mês da Produção Ambulatorial, obtidas pela agregação de 97.280 linhas. A ligação foi um-para-um e não multiplicou registros: 74.764 registros foram ligados e 9.278 foram mantidos sem correspondência. Foram excluídas 613 chaves da Produção Ambulatorial sem correspondência em APAC Medicamentos (489 autorizações). A restrição às competências de 2024 resultou em 38.993 registros. Após excluir 434 registros (282 autorizações) sem identificador válido do paciente, a coorte final teve 38.559 registros de dispensação, 18.831 autorizações e 4.231 pacientes."</w:t>
            </w:r>
          </w:p>
          <w:p>
            <w:pPr>
              <w:spacing w:after="120"/>
            </w:pPr>
            <w:r>
              <w:t xml:space="preserve">Figura 2: "Diagrama alluvial da dispensação mensal registrada de 4.231 pacientes, de janeiro a dezembro de 2024. A cada mês, cerca de 1.030 a 1.140 pacientes tiveram apenas octreotida, 820 a 960 apenas cabergolina e 580 a 680 apenas lanreotida; cerca de 270 a 310 tiveram octreotida com cabergolina, 250 a 320 lanreotida com cabergolina e poucos outras combinações; 900 a 1.230 não tiveram registro de dispensação. A maioria das faixas se mantém na mesma categoria entre meses consecutivos; as transições ocorrem principalmente entre um medicamento e 'sem registro de dispensação', com poucas trocas entre medicamentos."</w:t>
            </w:r>
          </w:p>
        </w:tc>
      </w:tr>
    </w:tbl>
    <w:p>
      <w:pPr>
        <w:spacing w:after="60"/>
      </w:pPr>
    </w:p>
    <w:p>
      <w:pPr>
        <w:pStyle w:val="Heading1"/>
        <w:pageBreakBefore/>
      </w:pPr>
      <w:bookmarkStart w:name="_Toc38" w:id="38"/>
      <w:r>
        <w:t xml:space="preserve">Correções adicionais (não pedidas pela revisão)</w:t>
      </w:r>
      <w:bookmarkEnd w:id="38"/>
    </w:p>
    <w:p>
      <w:pPr>
        <w:spacing w:after="120"/>
      </w:pPr>
      <w:r>
        <w:t xml:space="preserve">Estas correções foram identificadas durante a revisão do código. Elas alteram a Tabela 1, a Tabela 4, a Figura 2 e as tabelas de medicamentos, por isso devem ser mencionadas na carta de resposta. Os números dos itens 5c, 7a, 7c, 7e, 8a e 8d deste documento já as incorporam.</w:t>
      </w:r>
    </w:p>
    <w:p>
      <w:pPr>
        <w:pStyle w:val="Heading2"/>
      </w:pPr>
      <w:bookmarkStart w:name="_Toc39" w:id="39"/>
      <w:r>
        <w:t xml:space="preserve">A – Código E22 na CID-10</w:t>
      </w:r>
      <w:bookmarkEnd w:id="39"/>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(Ponto levantado pelos autores.) Na CID-10, E22 é a categoria "Hiperfunção da hipófise" (E22.0 a E22.9), e não um sinônimo de E22.0.</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Nenhuma alteração de código: a busca exata por </w:t>
      </w:r>
      <w:r>
        <w:rPr>
          <w:rFonts w:ascii="Consolas" w:cs="Consolas" w:eastAsia="Consolas" w:hAnsi="Consolas"/>
          <w:sz w:val="19"/>
          <w:szCs w:val="19"/>
        </w:rPr>
        <w:t xml:space="preserve">E22</w:t>
      </w:r>
      <w:r>
        <w:t xml:space="preserve">/</w:t>
      </w:r>
      <w:r>
        <w:rPr>
          <w:rFonts w:ascii="Consolas" w:cs="Consolas" w:eastAsia="Consolas" w:hAnsi="Consolas"/>
          <w:sz w:val="19"/>
          <w:szCs w:val="19"/>
        </w:rPr>
        <w:t xml:space="preserve">E220</w:t>
      </w:r>
      <w:r>
        <w:t xml:space="preserve"> foi mantida. A seção </w:t>
      </w:r>
      <w:r>
        <w:rPr>
          <w:b/>
          <w:bCs/>
        </w:rPr>
        <w:t xml:space="preserve">5.2</w:t>
      </w:r>
      <w:r>
        <w:t xml:space="preserve"> mostra que nenhum registro do AM traz </w:t>
      </w:r>
      <w:r>
        <w:rPr>
          <w:rFonts w:ascii="Consolas" w:cs="Consolas" w:eastAsia="Consolas" w:hAnsi="Consolas"/>
          <w:sz w:val="19"/>
          <w:szCs w:val="19"/>
        </w:rPr>
        <w:t xml:space="preserve">E22</w:t>
      </w:r>
      <w:r>
        <w:t xml:space="preserve"> e que todos os pacientes foram selecionados pelo </w:t>
      </w:r>
      <w:r>
        <w:rPr>
          <w:rFonts w:ascii="Consolas" w:cs="Consolas" w:eastAsia="Consolas" w:hAnsi="Consolas"/>
          <w:sz w:val="19"/>
          <w:szCs w:val="19"/>
        </w:rPr>
        <w:t xml:space="preserve">E220</w:t>
      </w:r>
      <w:r>
        <w:t xml:space="preserve">.</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case_definition_icd.xlsx</w:t>
      </w:r>
      <w:r>
        <w:t xml:space="preserve">, abas </w:t>
      </w:r>
      <w:r>
        <w:rPr>
          <w:rFonts w:ascii="Consolas" w:cs="Consolas" w:eastAsia="Consolas" w:hAnsi="Consolas"/>
          <w:sz w:val="19"/>
          <w:szCs w:val="19"/>
        </w:rPr>
        <w:t xml:space="preserve">inclusion_route</w:t>
      </w:r>
      <w:r>
        <w:t xml:space="preserve"> e </w:t>
      </w:r>
      <w:r>
        <w:rPr>
          <w:rFonts w:ascii="Consolas" w:cs="Consolas" w:eastAsia="Consolas" w:hAnsi="Consolas"/>
          <w:sz w:val="19"/>
          <w:szCs w:val="19"/>
        </w:rPr>
        <w:t xml:space="preserve">records_by_icd</w:t>
      </w:r>
      <w:r>
        <w:t xml:space="preserve">.</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O texto sugerido no item 2a/2b foi reescrito: descreve E22 como a categoria de três caracteres da CID-10, explica que ele foi incluído apenas para captar registros sem o quarto caractere e informa que nenhum paciente entrou por esse código.</w:t>
            </w:r>
          </w:p>
        </w:tc>
      </w:tr>
    </w:tbl>
    <w:p>
      <w:pPr>
        <w:spacing w:after="60"/>
      </w:pPr>
    </w:p>
    <w:p>
      <w:pPr>
        <w:pStyle w:val="Heading2"/>
      </w:pPr>
      <w:bookmarkStart w:name="_Toc40" w:id="40"/>
      <w:r>
        <w:t xml:space="preserve">B – Idade e raça/cor da Tabela 1 a partir do AM</w:t>
      </w:r>
      <w:bookmarkEnd w:id="40"/>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(Correção dos autores.) Idade e raça/cor vinham do PA e estavam ausentes para 468 pacientes sem ligação com o PA.</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Seção </w:t>
      </w:r>
      <w:r>
        <w:rPr>
          <w:b/>
          <w:bCs/>
        </w:rPr>
        <w:t xml:space="preserve">6</w:t>
      </w:r>
      <w:r>
        <w:t xml:space="preserve">: novas colunas </w:t>
      </w:r>
      <w:r>
        <w:rPr>
          <w:rFonts w:ascii="Consolas" w:cs="Consolas" w:eastAsia="Consolas" w:hAnsi="Consolas"/>
          <w:sz w:val="19"/>
          <w:szCs w:val="19"/>
        </w:rPr>
        <w:t xml:space="preserve">IDADE</w:t>
      </w:r>
      <w:r>
        <w:t xml:space="preserve"> (de </w:t>
      </w:r>
      <w:r>
        <w:rPr>
          <w:rFonts w:ascii="Consolas" w:cs="Consolas" w:eastAsia="Consolas" w:hAnsi="Consolas"/>
          <w:sz w:val="19"/>
          <w:szCs w:val="19"/>
        </w:rPr>
        <w:t xml:space="preserve">AP_NUIDADE</w:t>
      </w:r>
      <w:r>
        <w:t xml:space="preserve">/</w:t>
      </w:r>
      <w:r>
        <w:rPr>
          <w:rFonts w:ascii="Consolas" w:cs="Consolas" w:eastAsia="Consolas" w:hAnsi="Consolas"/>
          <w:sz w:val="19"/>
          <w:szCs w:val="19"/>
        </w:rPr>
        <w:t xml:space="preserve">AP_COIDADE</w:t>
      </w:r>
      <w:r>
        <w:t xml:space="preserve">: 4 = anos, 5 = 100 + anos, 0 a 3 = menos de 1 ano) e </w:t>
      </w:r>
      <w:r>
        <w:rPr>
          <w:rFonts w:ascii="Consolas" w:cs="Consolas" w:eastAsia="Consolas" w:hAnsi="Consolas"/>
          <w:sz w:val="19"/>
          <w:szCs w:val="19"/>
        </w:rPr>
        <w:t xml:space="preserve">RACACOR</w:t>
      </w:r>
      <w:r>
        <w:t xml:space="preserve"> (de </w:t>
      </w:r>
      <w:r>
        <w:rPr>
          <w:rFonts w:ascii="Consolas" w:cs="Consolas" w:eastAsia="Consolas" w:hAnsi="Consolas"/>
          <w:sz w:val="19"/>
          <w:szCs w:val="19"/>
        </w:rPr>
        <w:t xml:space="preserve">AP_RACACOR</w:t>
      </w:r>
      <w:r>
        <w:t xml:space="preserve">), ambas do AM e completas.</w:t>
      </w:r>
    </w:p>
    <w:p>
      <w:pPr>
        <w:pStyle w:val="ListParagraph"/>
        <w:numPr>
          <w:ilvl w:val="0"/>
          <w:numId w:val="2"/>
        </w:numPr>
        <w:spacing w:after="60"/>
      </w:pPr>
      <w:r>
        <w:t xml:space="preserve">Tabela de idade, pirâmide etária e tabela de raça/cor usam essas colunas. A seção 6.2.1 continua comparando os campos do PA e do AM, como evidência para o item 5c.</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age.xlsx</w:t>
      </w:r>
      <w:r>
        <w:t xml:space="preserve">: nenhum paciente sem idade; 1.552 (36,7%) com 60 anos ou mais; mediana de 54 anos (IIQ 44–65).</w:t>
      </w:r>
    </w:p>
    <w:p>
      <w:pPr>
        <w:pStyle w:val="ListParagraph"/>
        <w:numPr>
          <w:ilvl w:val="0"/>
          <w:numId w:val="2"/>
        </w:numPr>
        <w:spacing w:after="60"/>
      </w:pPr>
      <w:r>
        <w:rPr>
          <w:rFonts w:ascii="Consolas" w:cs="Consolas" w:eastAsia="Consolas" w:hAnsi="Consolas"/>
          <w:sz w:val="19"/>
          <w:szCs w:val="19"/>
        </w:rPr>
        <w:t xml:space="preserve">race_colour.xlsx</w:t>
      </w:r>
      <w:r>
        <w:t xml:space="preserve">: Branca 2.371 (56,0%), Parda 1.563 (36,9%), Preta 218 (5,2%), Amarela 79 (1,9%).</w:t>
      </w:r>
    </w:p>
    <w:p>
      <w:pPr>
        <w:pStyle w:val="ListParagraph"/>
        <w:numPr>
          <w:ilvl w:val="0"/>
          <w:numId w:val="2"/>
        </w:numPr>
        <w:spacing w:after="60"/>
      </w:pPr>
      <w:r>
        <w:rPr>
          <w:rFonts w:ascii="Consolas" w:cs="Consolas" w:eastAsia="Consolas" w:hAnsi="Consolas"/>
          <w:sz w:val="19"/>
          <w:szCs w:val="19"/>
        </w:rPr>
        <w:t xml:space="preserve">age_pyramid.png</w:t>
      </w:r>
      <w:r>
        <w:t xml:space="preserve">: sem a faixa "Unknown age".</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Ver a nota de rodapé sugerida no item 5c.</w:t>
            </w:r>
          </w:p>
        </w:tc>
      </w:tr>
    </w:tbl>
    <w:p>
      <w:pPr>
        <w:spacing w:after="60"/>
      </w:pPr>
    </w:p>
    <w:p>
      <w:pPr>
        <w:pStyle w:val="Heading2"/>
      </w:pPr>
      <w:bookmarkStart w:name="_Toc41" w:id="41"/>
      <w:r>
        <w:t xml:space="preserve">C – Medicamentos dispensados na mesma APAC</w:t>
      </w:r>
      <w:bookmarkEnd w:id="41"/>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(Correção dos autores.) A classificação dos medicamentos usava só o procedimento principal do AM (</w:t>
            </w:r>
            <w:r>
              <w:rPr>
                <w:rFonts w:ascii="Consolas" w:cs="Consolas" w:eastAsia="Consolas" w:hAnsi="Consolas"/>
                <w:i/>
                <w:iCs/>
                <w:sz w:val="19"/>
                <w:szCs w:val="19"/>
              </w:rPr>
              <w:t xml:space="preserve">AP_PRIPAL</w:t>
            </w:r>
            <w:r>
              <w:rPr>
                <w:i/>
                <w:iCs/>
              </w:rPr>
              <w:t xml:space="preserve">), mas o PA registra todos os procedimentos de medicamento da APAC.</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Seção </w:t>
      </w:r>
      <w:r>
        <w:rPr>
          <w:b/>
          <w:bCs/>
        </w:rPr>
        <w:t xml:space="preserve">7.1</w:t>
      </w:r>
      <w:r>
        <w:t xml:space="preserve">: nova tabela </w:t>
      </w:r>
      <w:r>
        <w:rPr>
          <w:rFonts w:ascii="Consolas" w:cs="Consolas" w:eastAsia="Consolas" w:hAnsi="Consolas"/>
          <w:sz w:val="19"/>
          <w:szCs w:val="19"/>
        </w:rPr>
        <w:t xml:space="preserve">dispensacoes</w:t>
      </w:r>
      <w:r>
        <w:t xml:space="preserve">, com o </w:t>
      </w:r>
      <w:r>
        <w:rPr>
          <w:rFonts w:ascii="Consolas" w:cs="Consolas" w:eastAsia="Consolas" w:hAnsi="Consolas"/>
          <w:sz w:val="19"/>
          <w:szCs w:val="19"/>
        </w:rPr>
        <w:t xml:space="preserve">AP_PRIPAL</w:t>
      </w:r>
      <w:r>
        <w:t xml:space="preserve"> de cada registro do AM </w:t>
      </w:r>
      <w:r>
        <w:rPr>
          <w:b/>
          <w:bCs/>
        </w:rPr>
        <w:t xml:space="preserve">mais</w:t>
      </w:r>
      <w:r>
        <w:t xml:space="preserve"> os outros medicamentos do estudo registrados no PA na mesma chave (autorização + competência + processamento) com </w:t>
      </w:r>
      <w:r>
        <w:rPr>
          <w:rFonts w:ascii="Consolas" w:cs="Consolas" w:eastAsia="Consolas" w:hAnsi="Consolas"/>
          <w:sz w:val="19"/>
          <w:szCs w:val="19"/>
        </w:rPr>
        <w:t xml:space="preserve">PA_QTDPRO &gt; 0</w:t>
      </w:r>
      <w:r>
        <w:t xml:space="preserve">.</w:t>
      </w:r>
    </w:p>
    <w:p>
      <w:pPr>
        <w:pStyle w:val="ListParagraph"/>
        <w:numPr>
          <w:ilvl w:val="0"/>
          <w:numId w:val="2"/>
        </w:numPr>
        <w:spacing w:after="60"/>
      </w:pPr>
      <w:r>
        <w:t xml:space="preserve">Só os 8 códigos SIGTAP do estudo são considerados. Nas APACs da coorte não aparece nenhum procedimento fora dessa lista.</w:t>
      </w:r>
    </w:p>
    <w:p>
      <w:pPr>
        <w:pStyle w:val="ListParagraph"/>
        <w:numPr>
          <w:ilvl w:val="0"/>
          <w:numId w:val="2"/>
        </w:numPr>
        <w:spacing w:after="60"/>
      </w:pPr>
      <w:r>
        <w:t xml:space="preserve">Todas as análises de medicamentos usam essa tabela: combinações, Tabela 4, medicamento mais recente, Sankey, Figura 2 e abandono.</w:t>
      </w:r>
    </w:p>
    <w:p>
      <w:pPr>
        <w:pStyle w:val="ListParagraph"/>
        <w:numPr>
          <w:ilvl w:val="0"/>
          <w:numId w:val="2"/>
        </w:numPr>
        <w:spacing w:after="60"/>
      </w:pPr>
      <w:r>
        <w:t xml:space="preserve">Registros sem ligação com o PA (11,6% da coorte) ficam classificados apenas pelo </w:t>
      </w:r>
      <w:r>
        <w:rPr>
          <w:rFonts w:ascii="Consolas" w:cs="Consolas" w:eastAsia="Consolas" w:hAnsi="Consolas"/>
          <w:sz w:val="19"/>
          <w:szCs w:val="19"/>
        </w:rPr>
        <w:t xml:space="preserve">AP_PRIPAL</w:t>
      </w:r>
      <w:r>
        <w:t xml:space="preserve">.</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medications_same_apac.xlsx</w:t>
      </w:r>
      <w:r>
        <w:t xml:space="preserve">, aba </w:t>
      </w:r>
      <w:r>
        <w:rPr>
          <w:rFonts w:ascii="Consolas" w:cs="Consolas" w:eastAsia="Consolas" w:hAnsi="Consolas"/>
          <w:sz w:val="19"/>
          <w:szCs w:val="19"/>
        </w:rPr>
        <w:t xml:space="preserve">summary</w:t>
      </w:r>
      <w:r>
        <w:t xml:space="preserve">: 7.153 dos 38.559 registros (18,6%) tinham outro medicamento do estudo dispensado na mesma APAC; 405 pacientes mudaram de categoria.</w:t>
      </w:r>
    </w:p>
    <w:p>
      <w:pPr>
        <w:pStyle w:val="ListParagraph"/>
        <w:numPr>
          <w:ilvl w:val="0"/>
          <w:numId w:val="2"/>
        </w:numPr>
        <w:spacing w:after="60"/>
      </w:pPr>
      <w:r>
        <w:t xml:space="preserve">Aba </w:t>
      </w:r>
      <w:r>
        <w:rPr>
          <w:rFonts w:ascii="Consolas" w:cs="Consolas" w:eastAsia="Consolas" w:hAnsi="Consolas"/>
          <w:sz w:val="19"/>
          <w:szCs w:val="19"/>
        </w:rPr>
        <w:t xml:space="preserve">code_pairs</w:t>
      </w:r>
      <w:r>
        <w:t xml:space="preserve">: pares de códigos (principal × adicional). Os mais comuns: cabergolina com lanreotida 120 mg (2.195 registros), com octreotida LAR 30 mg (1.638) e com octreotida LAR 20 mg (776).</w:t>
      </w:r>
    </w:p>
    <w:p>
      <w:pPr>
        <w:pStyle w:val="ListParagraph"/>
        <w:numPr>
          <w:ilvl w:val="0"/>
          <w:numId w:val="2"/>
        </w:numPr>
        <w:spacing w:after="60"/>
      </w:pPr>
      <w:r>
        <w:t xml:space="preserve">Aba </w:t>
      </w:r>
      <w:r>
        <w:rPr>
          <w:rFonts w:ascii="Consolas" w:cs="Consolas" w:eastAsia="Consolas" w:hAnsi="Consolas"/>
          <w:sz w:val="19"/>
          <w:szCs w:val="19"/>
        </w:rPr>
        <w:t xml:space="preserve">change_by_patient</w:t>
      </w:r>
      <w:r>
        <w:t xml:space="preserve">: 156 pacientes passaram de "só cabergolina" para "cabergolina + octreotida", 149 para "cabergolina + lanreotida" e 44 de "só lanreotida" para "lanreotida + cabergolina".</w:t>
      </w:r>
    </w:p>
    <w:p>
      <w:pPr>
        <w:pStyle w:val="ListParagraph"/>
        <w:numPr>
          <w:ilvl w:val="0"/>
          <w:numId w:val="2"/>
        </w:numPr>
        <w:spacing w:after="60"/>
      </w:pPr>
      <w:r>
        <w:t xml:space="preserve">Pacientes com combinação de princípios ativos: de 570 para 954.</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Métodos: "Os medicamentos dispensados em cada mês foram identificados pelo procedimento principal do registro de APAC Medicamentos e pelos demais medicamentos do estudo dispensados na mesma APAC, registrados na Produção Ambulatorial (quantidade produzida maior que zero), restritos aos oito códigos do SIGTAP. Registros sem correspondência na Produção Ambulatorial (11,6%) foram classificados apenas pelo procedimento principal."</w:t>
            </w:r>
          </w:p>
        </w:tc>
      </w:tr>
    </w:tbl>
    <w:p>
      <w:pPr>
        <w:spacing w:after="60"/>
      </w:pPr>
    </w:p>
    <w:p>
      <w:pPr>
        <w:pStyle w:val="Heading2"/>
      </w:pPr>
      <w:bookmarkStart w:name="_Toc42" w:id="42"/>
      <w:r>
        <w:t xml:space="preserve">D – Doses e valores por medicamento</w:t>
      </w:r>
      <w:bookmarkEnd w:id="42"/>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(Correção dos autores.) A tabela de gastos somava os valores do PA pelo medicamento principal do AM, misturando linhas de outros medicamentos da mesma APAC.</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Seção </w:t>
      </w:r>
      <w:r>
        <w:rPr>
          <w:b/>
          <w:bCs/>
        </w:rPr>
        <w:t xml:space="preserve">7.4</w:t>
      </w:r>
      <w:r>
        <w:t xml:space="preserve">: doses e valores passam a ser atribuídos ao procedimento registrado no PA (</w:t>
      </w:r>
      <w:r>
        <w:rPr>
          <w:rFonts w:ascii="Consolas" w:cs="Consolas" w:eastAsia="Consolas" w:hAnsi="Consolas"/>
          <w:sz w:val="19"/>
          <w:szCs w:val="19"/>
        </w:rPr>
        <w:t xml:space="preserve">PA_PROC_ID</w:t>
      </w:r>
      <w:r>
        <w:t xml:space="preserve">), restritos aos 8 códigos do estudo e às APACs da coorte final.</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medication_spending.xlsx</w:t>
      </w:r>
      <w:r>
        <w:t xml:space="preserve">: os totais não mudam (249.034 doses dispensadas; R$ 1.366.426 produzidos), mas a distribuição por medicamento agora está correta.</w:t>
      </w:r>
    </w:p>
    <w:p>
      <w:pPr>
        <w:pStyle w:val="ListParagraph"/>
        <w:numPr>
          <w:ilvl w:val="0"/>
          <w:numId w:val="2"/>
        </w:numPr>
        <w:spacing w:after="60"/>
      </w:pPr>
      <w:r>
        <w:t xml:space="preserve">O valor registrado no SIASUS só é diferente de zero para octreotida LAR 10 mg (R$ 1.366.050) e octreotida 0,1 mg/mL (R$ 376); todos os outros medicamentos aparecem com valor zero.</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Se a tabela for usada no artigo: "Os valores registrados no SIASUS não representam o custo da maioria dos medicamentos do estudo, que aparecem com valor zero, e não devem ser interpretados como gasto total." A hipótese de que esses medicamentos são adquiridos de forma centralizada precisa ser confirmada antes de entrar no texto.</w:t>
            </w:r>
          </w:p>
        </w:tc>
      </w:tr>
    </w:tbl>
    <w:p>
      <w:pPr>
        <w:spacing w:after="60"/>
      </w:pPr>
    </w:p>
    <w:p>
      <w:pPr>
        <w:pStyle w:val="Heading2"/>
      </w:pPr>
      <w:bookmarkStart w:name="_Toc43" w:id="43"/>
      <w:r>
        <w:t xml:space="preserve">E – Códigos de raça/cor no notebook de análise</w:t>
      </w:r>
      <w:bookmarkEnd w:id="43"/>
    </w:p>
    <w:p>
      <w:pPr>
        <w:spacing w:after="80" w:before="200"/>
      </w:pPr>
      <w:r>
        <w:rPr>
          <w:b/>
          <w:bCs/>
          <w:color w:val="595959"/>
          <w:sz w:val="22"/>
          <w:szCs w:val="22"/>
        </w:rPr>
        <w:t xml:space="preserve">Comentário do revisor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808080" w:sz="18"/>
              <w:bottom w:val="none"/>
              <w:right w:val="none"/>
            </w:tcBorders>
            <w:shd w:fill="F2F2F2" w:color="auto" w:val="clear"/>
            <w:tcMar>
              <w:top w:type="dxa" w:w="100"/>
              <w:left w:type="dxa" w:w="160"/>
              <w:bottom w:type="dxa" w:w="100"/>
              <w:right w:type="dxa" w:w="160"/>
            </w:tcMar>
          </w:tcPr>
          <w:p>
            <w:pPr>
              <w:spacing w:after="120"/>
            </w:pPr>
            <w:r>
              <w:rPr>
                <w:i/>
                <w:iCs/>
              </w:rPr>
              <w:t xml:space="preserve">(Erro encontrado no código.) No </w:t>
            </w:r>
            <w:r>
              <w:rPr>
                <w:rFonts w:ascii="Consolas" w:cs="Consolas" w:eastAsia="Consolas" w:hAnsi="Consolas"/>
                <w:i/>
                <w:iCs/>
                <w:sz w:val="19"/>
                <w:szCs w:val="19"/>
              </w:rPr>
              <w:t xml:space="preserve">acromegalia_analise_medicamentos.ipynb</w:t>
            </w:r>
            <w:r>
              <w:rPr>
                <w:i/>
                <w:iCs/>
              </w:rPr>
              <w:t xml:space="preserve">, os códigos 03 e 04 estavam trocados (Parda e Amarela).</w:t>
            </w:r>
          </w:p>
        </w:tc>
      </w:tr>
    </w:tbl>
    <w:p>
      <w:pPr>
        <w:spacing w:after="80" w:before="200"/>
      </w:pPr>
      <w:r>
        <w:rPr>
          <w:b/>
          <w:bCs/>
          <w:color w:val="1F4E79"/>
          <w:sz w:val="22"/>
          <w:szCs w:val="22"/>
        </w:rPr>
        <w:t xml:space="preserve">Correção feita no código</w:t>
      </w:r>
    </w:p>
    <w:p>
      <w:pPr>
        <w:pStyle w:val="ListParagraph"/>
        <w:numPr>
          <w:ilvl w:val="0"/>
          <w:numId w:val="2"/>
        </w:numPr>
        <w:spacing w:after="60"/>
      </w:pPr>
      <w:r>
        <w:t xml:space="preserve">A célula de raça/cor do notebook de análise passou a usar o mesmo mapeamento do notebook principal: 01 Branca, 02 Preta, 03 Parda, 04 Amarela, 05 Indígena.</w:t>
      </w:r>
    </w:p>
    <w:p>
      <w:pPr>
        <w:spacing w:after="80" w:before="200"/>
      </w:pPr>
      <w:r>
        <w:rPr>
          <w:b/>
          <w:bCs/>
          <w:color w:val="1F4E79"/>
          <w:sz w:val="22"/>
          <w:szCs w:val="22"/>
        </w:rPr>
        <w:t xml:space="preserve">Onde encontrar o resultado</w:t>
      </w:r>
    </w:p>
    <w:p>
      <w:pPr>
        <w:pStyle w:val="ListParagraph"/>
        <w:numPr>
          <w:ilvl w:val="0"/>
          <w:numId w:val="2"/>
        </w:numPr>
        <w:spacing w:after="60"/>
      </w:pPr>
      <w:r>
        <w:rPr>
          <w:rFonts w:ascii="Consolas" w:cs="Consolas" w:eastAsia="Consolas" w:hAnsi="Consolas"/>
          <w:sz w:val="19"/>
          <w:szCs w:val="19"/>
        </w:rPr>
        <w:t xml:space="preserve">race_colour.xlsx</w:t>
      </w:r>
      <w:r>
        <w:t xml:space="preserve"> (gerado igualmente pelos dois notebooks).</w:t>
      </w:r>
    </w:p>
    <w:p>
      <w:pPr>
        <w:spacing w:after="80" w:before="200"/>
      </w:pPr>
      <w:r>
        <w:rPr>
          <w:b/>
          <w:bCs/>
          <w:color w:val="2E6B2E"/>
          <w:sz w:val="22"/>
          <w:szCs w:val="22"/>
        </w:rPr>
        <w:t xml:space="preserve">Texto sugerido para o artigo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8A4F" w:sz="18"/>
              <w:bottom w:val="none"/>
              <w:right w:val="none"/>
            </w:tcBorders>
            <w:shd w:fill="EAF3EA" w:color="auto" w:val="clear"/>
            <w:tcMar>
              <w:top w:type="dxa" w:w="100"/>
              <w:left w:type="dxa" w:w="160"/>
              <w:bottom w:type="dxa" w:w="100"/>
              <w:right w:type="dxa" w:w="160"/>
            </w:tcMar>
          </w:tcPr>
          <w:p>
            <w:pPr>
              <w:spacing w:after="120"/>
            </w:pPr>
            <w:r>
              <w:t xml:space="preserve">Conferir se alguma versão anterior do manuscrito usou a tabela com os códigos trocados.</w:t>
            </w:r>
          </w:p>
        </w:tc>
      </w:tr>
    </w:tbl>
    <w:p>
      <w:pPr>
        <w:spacing w:after="6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864"/>
      <w:sz w:val="40"/>
      <w:szCs w:val="40"/>
    </w:rPr>
  </w:style>
  <w:style w:type="paragraph" w:styleId="Heading1">
    <w:name w:val="Heading 1"/>
    <w:basedOn w:val="Normal"/>
    <w:next w:val="Normal"/>
    <w:qFormat/>
    <w:pPr>
      <w:spacing w:after="160" w:before="240"/>
      <w:outlineLvl w:val="0"/>
    </w:pPr>
    <w:rPr>
      <w:b/>
      <w:bCs/>
      <w:color w:val="1F3864"/>
      <w:sz w:val="30"/>
      <w:szCs w:val="30"/>
    </w:rPr>
  </w:style>
  <w:style w:type="paragraph" w:styleId="Heading2">
    <w:name w:val="Heading 2"/>
    <w:basedOn w:val="Normal"/>
    <w:next w:val="Normal"/>
    <w:qFormat/>
    <w:pPr>
      <w:spacing w:after="100" w:before="280"/>
      <w:outlineLvl w:val="1"/>
    </w:pPr>
    <w:rPr>
      <w:b/>
      <w:bCs/>
      <w:color w:val="2F549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Resposta à terceira revisão – AcroSUS</dc:title>
  <dc:creator>LEFAR/FS-UnB</dc:creator>
  <cp:lastModifiedBy>Un-named</cp:lastModifiedBy>
  <cp:revision>1</cp:revision>
  <dcterms:created xsi:type="dcterms:W3CDTF">2026-10-13T23:28:32.480Z</dcterms:created>
  <dcterms:modified xsi:type="dcterms:W3CDTF">2026-10-13T23:28:32.487Z</dcterms:modified>
</cp:coreProperties>
</file>

<file path=docProps/custom.xml><?xml version="1.0" encoding="utf-8"?>
<Properties xmlns="http://schemas.openxmlformats.org/officeDocument/2006/custom-properties" xmlns:vt="http://schemas.openxmlformats.org/officeDocument/2006/docPropsVTypes"/>
</file>