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17E8" w14:textId="2EF32B60" w:rsidR="00EE3924" w:rsidRDefault="008B681C">
      <w:r>
        <w:t>TITLE: BIOBEHAVIORAL SURVEY AMONG KEY POPULATIONS IN [COUNTY X], KENYA, 2024</w:t>
      </w:r>
    </w:p>
    <w:p w14:paraId="0C139DC7" w14:textId="1555F94C" w:rsidR="008B681C" w:rsidRDefault="008B681C" w:rsidP="00FD17F4">
      <w:pPr>
        <w:pStyle w:val="Heading1"/>
      </w:pPr>
      <w:r>
        <w:t>BACKGROUND</w:t>
      </w:r>
    </w:p>
    <w:p w14:paraId="6A5C2FAA" w14:textId="4CC3C3AD" w:rsidR="00C0276E" w:rsidRDefault="004706FA">
      <w:r>
        <w:t>A</w:t>
      </w:r>
      <w:r w:rsidR="001B1DD2">
        <w:t xml:space="preserve"> </w:t>
      </w:r>
      <w:r w:rsidR="00A619A7">
        <w:t>bio-behavioral survey</w:t>
      </w:r>
      <w:r w:rsidR="008D73BA">
        <w:t xml:space="preserve"> among key populations</w:t>
      </w:r>
      <w:r w:rsidR="00FA5925">
        <w:t xml:space="preserve"> was conducted in Kenya among</w:t>
      </w:r>
      <w:r w:rsidR="00A619A7">
        <w:t xml:space="preserve"> </w:t>
      </w:r>
      <w:r w:rsidR="00EC2C5C">
        <w:t>female sex workers (FSW), men who have sex with men (MSM), people who inject drugs (PWID) and transgender persons (TG)</w:t>
      </w:r>
      <w:r w:rsidR="00FA5925">
        <w:t xml:space="preserve">. This was </w:t>
      </w:r>
      <w:r w:rsidR="00A619A7">
        <w:t>a respondent-driven sampling survey</w:t>
      </w:r>
      <w:r w:rsidR="008D73BA">
        <w:t xml:space="preserve">, conducted from </w:t>
      </w:r>
      <w:r w:rsidR="009D3789">
        <w:t>February</w:t>
      </w:r>
      <w:r w:rsidR="008D73BA">
        <w:t xml:space="preserve"> to Ju</w:t>
      </w:r>
      <w:r w:rsidR="00071113">
        <w:t>ly</w:t>
      </w:r>
      <w:r w:rsidR="008D73BA">
        <w:t xml:space="preserve"> 2024</w:t>
      </w:r>
      <w:r w:rsidR="00A619A7">
        <w:t xml:space="preserve"> </w:t>
      </w:r>
      <w:r w:rsidR="008F7002">
        <w:t xml:space="preserve">in nine counties in Kenya – Nairobi, </w:t>
      </w:r>
      <w:r w:rsidR="00891376">
        <w:t xml:space="preserve">Mombasa, Kilifi, </w:t>
      </w:r>
      <w:r w:rsidR="008F7002">
        <w:t xml:space="preserve">Kiambu, </w:t>
      </w:r>
      <w:r w:rsidR="0090318B">
        <w:t xml:space="preserve">Machakos, </w:t>
      </w:r>
      <w:r w:rsidR="00C9392C">
        <w:t xml:space="preserve">Nakuru, </w:t>
      </w:r>
      <w:r w:rsidR="0005673B">
        <w:t xml:space="preserve">Kisumu, </w:t>
      </w:r>
      <w:r w:rsidR="0090318B">
        <w:t xml:space="preserve">Kajiado, </w:t>
      </w:r>
      <w:r w:rsidR="0005673B">
        <w:t xml:space="preserve">and </w:t>
      </w:r>
      <w:r w:rsidR="00C0276E">
        <w:t>Kisii</w:t>
      </w:r>
      <w:r w:rsidR="0005673B">
        <w:t xml:space="preserve">. </w:t>
      </w:r>
      <w:r w:rsidR="00F37B75">
        <w:t xml:space="preserve">The </w:t>
      </w:r>
      <w:r w:rsidR="00957B97">
        <w:t xml:space="preserve">objective of the </w:t>
      </w:r>
      <w:r w:rsidR="00F37B75">
        <w:t xml:space="preserve">survey was to measure the impact of the HIV response </w:t>
      </w:r>
      <w:r w:rsidR="006450F5">
        <w:t xml:space="preserve">and gaps </w:t>
      </w:r>
      <w:r w:rsidR="00F37B75">
        <w:t xml:space="preserve">among key populations in </w:t>
      </w:r>
      <w:r w:rsidR="008E3703">
        <w:t>the nine counties (?)</w:t>
      </w:r>
      <w:r w:rsidR="00176846">
        <w:t xml:space="preserve"> and was led by the Ministry of Health through the National AIDS and STI Control Program (NASCOP) </w:t>
      </w:r>
      <w:r w:rsidR="00DE4133">
        <w:t>and the</w:t>
      </w:r>
      <w:r w:rsidR="00A60E8B">
        <w:t xml:space="preserve"> </w:t>
      </w:r>
      <w:r w:rsidR="00176846">
        <w:t xml:space="preserve">National </w:t>
      </w:r>
      <w:r w:rsidR="00A60E8B">
        <w:t>HIV Reference Laboratory (NHRL)</w:t>
      </w:r>
      <w:r w:rsidR="00EE460F">
        <w:t xml:space="preserve"> with technical support from the U.S. Centers for Disease Control and Prevention</w:t>
      </w:r>
      <w:r w:rsidR="00DE4133">
        <w:t xml:space="preserve">. </w:t>
      </w:r>
      <w:r w:rsidR="002C5A56">
        <w:t xml:space="preserve">The Key Populations Consortium and the </w:t>
      </w:r>
      <w:r w:rsidR="00FA467D">
        <w:t>Department of</w:t>
      </w:r>
      <w:r w:rsidR="002C5A56">
        <w:t xml:space="preserve"> Health in each county were key</w:t>
      </w:r>
      <w:r w:rsidR="00982372">
        <w:t xml:space="preserve"> collaborators in</w:t>
      </w:r>
      <w:r w:rsidR="005F5764">
        <w:t xml:space="preserve"> this survey.</w:t>
      </w:r>
      <w:r w:rsidR="002C5A56">
        <w:t xml:space="preserve"> </w:t>
      </w:r>
      <w:r w:rsidR="00DE4133">
        <w:t xml:space="preserve">The survey </w:t>
      </w:r>
      <w:r w:rsidR="00BB3E90">
        <w:t xml:space="preserve">was funded jointly by </w:t>
      </w:r>
      <w:r w:rsidR="00C54827">
        <w:t>U.S. President’s Emergency Plan for AIDS Relief (PEPFAR)</w:t>
      </w:r>
      <w:r w:rsidR="00BB3E90">
        <w:t xml:space="preserve"> and </w:t>
      </w:r>
      <w:r w:rsidR="000C7672">
        <w:t xml:space="preserve">Global Fund </w:t>
      </w:r>
      <w:r w:rsidR="00286ECD" w:rsidRPr="00AE3FF7">
        <w:rPr>
          <w:color w:val="000000" w:themeColor="text1"/>
        </w:rPr>
        <w:t>to Fight AIDS, Tuberculosis and Malaria</w:t>
      </w:r>
      <w:r w:rsidR="00286ECD" w:rsidRPr="00AE3FF7" w:rsidDel="00B3236E">
        <w:rPr>
          <w:color w:val="000000" w:themeColor="text1"/>
        </w:rPr>
        <w:t xml:space="preserve"> </w:t>
      </w:r>
      <w:r w:rsidR="00286ECD" w:rsidRPr="00AE3FF7">
        <w:rPr>
          <w:color w:val="000000" w:themeColor="text1"/>
        </w:rPr>
        <w:t>(GFATM)</w:t>
      </w:r>
      <w:r w:rsidR="00286ECD">
        <w:rPr>
          <w:color w:val="000000" w:themeColor="text1"/>
        </w:rPr>
        <w:t xml:space="preserve"> </w:t>
      </w:r>
      <w:r w:rsidR="00BB3E90">
        <w:t xml:space="preserve">and </w:t>
      </w:r>
      <w:r w:rsidR="00DE4133">
        <w:t xml:space="preserve">was implemented by </w:t>
      </w:r>
      <w:r w:rsidR="00BC2D55">
        <w:t>the University of California, San Francisco, Global Programs, Kenya</w:t>
      </w:r>
      <w:r w:rsidR="00EE460F">
        <w:t xml:space="preserve">. </w:t>
      </w:r>
    </w:p>
    <w:p w14:paraId="6F2E2380" w14:textId="565C4F04" w:rsidR="004F461A" w:rsidRDefault="00C0276E" w:rsidP="004F461A">
      <w:pPr>
        <w:rPr>
          <w:rFonts w:eastAsia="Times New Roman"/>
        </w:rPr>
      </w:pPr>
      <w:r>
        <w:t xml:space="preserve"> </w:t>
      </w:r>
      <w:r w:rsidR="004F461A">
        <w:rPr>
          <w:rFonts w:eastAsia="Times New Roman"/>
        </w:rPr>
        <w:t>Kindly add the following to the background</w:t>
      </w:r>
      <w:r w:rsidR="004F461A">
        <w:rPr>
          <w:rFonts w:eastAsia="Times New Roman"/>
        </w:rPr>
        <w:t xml:space="preserve"> (from </w:t>
      </w:r>
      <w:proofErr w:type="spellStart"/>
      <w:r w:rsidR="004F461A">
        <w:rPr>
          <w:rFonts w:eastAsia="Times New Roman"/>
        </w:rPr>
        <w:t>Soloh</w:t>
      </w:r>
      <w:proofErr w:type="spellEnd"/>
      <w:r w:rsidR="004F461A">
        <w:rPr>
          <w:rFonts w:eastAsia="Times New Roman"/>
        </w:rPr>
        <w:t>)</w:t>
      </w:r>
      <w:r w:rsidR="004F461A">
        <w:rPr>
          <w:rFonts w:eastAsia="Times New Roman"/>
        </w:rPr>
        <w:t>:</w:t>
      </w:r>
    </w:p>
    <w:p w14:paraId="5814E0E8" w14:textId="77777777" w:rsidR="004F461A" w:rsidRDefault="004F461A" w:rsidP="004F4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role of Site Managers who were the Directors from Key Populations</w:t>
      </w:r>
    </w:p>
    <w:p w14:paraId="3405046A" w14:textId="77777777" w:rsidR="004F461A" w:rsidRDefault="004F461A" w:rsidP="004F4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Peers who were mainly KP Representatives</w:t>
      </w:r>
    </w:p>
    <w:p w14:paraId="3F873212" w14:textId="77777777" w:rsidR="004F461A" w:rsidRDefault="004F461A" w:rsidP="004F4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conversation on County context where the studies were done. Can be just a few lines</w:t>
      </w:r>
    </w:p>
    <w:p w14:paraId="068A39ED" w14:textId="3D65BB3D" w:rsidR="008B681C" w:rsidRDefault="008B681C"/>
    <w:p w14:paraId="5A97879F" w14:textId="4C222CAA" w:rsidR="008B681C" w:rsidRDefault="008B681C" w:rsidP="00FD17F4">
      <w:pPr>
        <w:pStyle w:val="Heading1"/>
      </w:pPr>
      <w:r>
        <w:t>OBJECTIVES</w:t>
      </w:r>
    </w:p>
    <w:p w14:paraId="5FC89945" w14:textId="2E3EB7A9" w:rsidR="001B3D41" w:rsidRPr="001B3D41" w:rsidRDefault="001B3D41" w:rsidP="001B3D41">
      <w:pPr>
        <w:pStyle w:val="Heading2"/>
        <w:rPr>
          <w:rFonts w:eastAsiaTheme="minorHAnsi"/>
        </w:rPr>
      </w:pPr>
      <w:r>
        <w:rPr>
          <w:rFonts w:eastAsiaTheme="minorHAnsi"/>
        </w:rPr>
        <w:t>Primary objectives</w:t>
      </w:r>
    </w:p>
    <w:p w14:paraId="08EF198D" w14:textId="2D34DB2A" w:rsidR="007101BA" w:rsidRPr="00550409" w:rsidRDefault="007101BA" w:rsidP="007101BA">
      <w:pPr>
        <w:numPr>
          <w:ilvl w:val="0"/>
          <w:numId w:val="1"/>
        </w:numPr>
        <w:spacing w:after="0" w:line="360" w:lineRule="auto"/>
        <w:ind w:left="540" w:hanging="540"/>
        <w:contextualSpacing/>
        <w:mirrorIndents/>
        <w:jc w:val="both"/>
      </w:pPr>
      <w:r w:rsidRPr="49A690A6">
        <w:rPr>
          <w:rFonts w:eastAsiaTheme="minorEastAsia"/>
        </w:rPr>
        <w:t xml:space="preserve">To estimate the proportion of HIV-infected key populations who have suppressed viral load </w:t>
      </w:r>
      <w:r>
        <w:rPr>
          <w:rFonts w:eastAsiaTheme="minorEastAsia"/>
        </w:rPr>
        <w:t>by KP typology and county.</w:t>
      </w:r>
    </w:p>
    <w:p w14:paraId="57B3F0AA" w14:textId="77777777" w:rsidR="007101BA" w:rsidRDefault="007101BA" w:rsidP="007101BA">
      <w:pPr>
        <w:pStyle w:val="ListParagraph"/>
        <w:numPr>
          <w:ilvl w:val="0"/>
          <w:numId w:val="1"/>
        </w:numPr>
        <w:spacing w:line="360" w:lineRule="auto"/>
        <w:ind w:left="540" w:hanging="540"/>
        <w:mirrorIndents/>
        <w:jc w:val="both"/>
        <w:rPr>
          <w:rFonts w:asciiTheme="minorHAnsi" w:hAnsiTheme="minorHAnsi"/>
        </w:rPr>
      </w:pPr>
      <w:r w:rsidRPr="5984579B">
        <w:rPr>
          <w:rFonts w:asciiTheme="minorHAnsi" w:hAnsiTheme="minorHAnsi"/>
        </w:rPr>
        <w:t>To estimate the prevalence of HIV by KP typology and county.</w:t>
      </w:r>
    </w:p>
    <w:p w14:paraId="2D249DAC" w14:textId="77777777" w:rsidR="007101BA" w:rsidRDefault="007101BA" w:rsidP="007101BA">
      <w:pPr>
        <w:pStyle w:val="ListParagraph"/>
        <w:numPr>
          <w:ilvl w:val="0"/>
          <w:numId w:val="1"/>
        </w:numPr>
        <w:spacing w:line="360" w:lineRule="auto"/>
        <w:ind w:left="540" w:hanging="540"/>
        <w:mirrorIndents/>
        <w:jc w:val="both"/>
        <w:rPr>
          <w:rFonts w:asciiTheme="minorHAnsi" w:hAnsiTheme="minorHAnsi"/>
        </w:rPr>
      </w:pPr>
      <w:r w:rsidRPr="5984579B">
        <w:rPr>
          <w:rFonts w:asciiTheme="minorHAnsi" w:hAnsiTheme="minorHAnsi"/>
        </w:rPr>
        <w:t xml:space="preserve">To estimate HIV incidence by KP typology and county. </w:t>
      </w:r>
    </w:p>
    <w:p w14:paraId="70C1A93F" w14:textId="77777777" w:rsidR="007101BA" w:rsidRPr="00C315E4" w:rsidRDefault="007101BA" w:rsidP="007101BA">
      <w:pPr>
        <w:numPr>
          <w:ilvl w:val="0"/>
          <w:numId w:val="1"/>
        </w:numPr>
        <w:spacing w:after="0" w:line="360" w:lineRule="auto"/>
        <w:ind w:left="540" w:hanging="540"/>
        <w:contextualSpacing/>
        <w:mirrorIndents/>
        <w:jc w:val="both"/>
      </w:pPr>
      <w:r w:rsidRPr="5984579B">
        <w:t>To examine HIV service uptake (prevention, treatment) and serostatus knowledge among all KP by typology and county</w:t>
      </w:r>
    </w:p>
    <w:p w14:paraId="5086C6F4" w14:textId="77777777" w:rsidR="007101BA" w:rsidRPr="00703774" w:rsidRDefault="007101BA" w:rsidP="007101BA">
      <w:pPr>
        <w:numPr>
          <w:ilvl w:val="0"/>
          <w:numId w:val="1"/>
        </w:numPr>
        <w:spacing w:after="0" w:line="360" w:lineRule="auto"/>
        <w:ind w:left="540" w:hanging="540"/>
        <w:contextualSpacing/>
        <w:mirrorIndents/>
        <w:jc w:val="both"/>
      </w:pPr>
      <w:r w:rsidRPr="5984579B">
        <w:rPr>
          <w:rFonts w:eastAsiaTheme="minorEastAsia"/>
        </w:rPr>
        <w:t>To estimate the proportions of KP who know their HIV status, are on treatment and are virally suppressed (UNAIDS 95-95-95 targets) by KP typology and county</w:t>
      </w:r>
    </w:p>
    <w:p w14:paraId="66B355CA" w14:textId="5EFE7F5D" w:rsidR="007101BA" w:rsidRDefault="001B3D41" w:rsidP="001B3D41">
      <w:pPr>
        <w:pStyle w:val="Heading2"/>
      </w:pPr>
      <w:r>
        <w:t>Secondary objectives</w:t>
      </w:r>
    </w:p>
    <w:p w14:paraId="2618CE4B" w14:textId="77777777" w:rsidR="001B3D41" w:rsidRPr="00971EA7" w:rsidRDefault="001B3D41" w:rsidP="001B3D41">
      <w:pPr>
        <w:pStyle w:val="ListParagraph"/>
        <w:numPr>
          <w:ilvl w:val="0"/>
          <w:numId w:val="2"/>
        </w:numPr>
        <w:spacing w:line="360" w:lineRule="auto"/>
        <w:mirrorIndents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 estimate the prevalence of STIs among all KP by typology, county, and HIV status</w:t>
      </w:r>
    </w:p>
    <w:p w14:paraId="20AEE6F1" w14:textId="77777777" w:rsidR="001B3D41" w:rsidRPr="00C5547A" w:rsidRDefault="001B3D41" w:rsidP="001B3D41">
      <w:pPr>
        <w:numPr>
          <w:ilvl w:val="0"/>
          <w:numId w:val="2"/>
        </w:numPr>
        <w:spacing w:after="0" w:line="360" w:lineRule="auto"/>
        <w:ind w:left="540" w:hanging="540"/>
        <w:contextualSpacing/>
        <w:mirrorIndents/>
        <w:jc w:val="both"/>
      </w:pPr>
      <w:r w:rsidRPr="00E836F6">
        <w:t xml:space="preserve">To identify risk factors </w:t>
      </w:r>
      <w:r w:rsidRPr="00C5547A">
        <w:t>associated with HIV infection for KP typology by county</w:t>
      </w:r>
    </w:p>
    <w:p w14:paraId="70DE8144" w14:textId="77777777" w:rsidR="001B3D41" w:rsidRDefault="001B3D41" w:rsidP="001B3D41">
      <w:pPr>
        <w:numPr>
          <w:ilvl w:val="0"/>
          <w:numId w:val="2"/>
        </w:numPr>
        <w:spacing w:after="0" w:line="360" w:lineRule="auto"/>
        <w:ind w:left="540" w:hanging="540"/>
        <w:contextualSpacing/>
        <w:mirrorIndents/>
        <w:jc w:val="both"/>
      </w:pPr>
      <w:r w:rsidRPr="00C5547A">
        <w:t>To estimate the key population size</w:t>
      </w:r>
      <w:r w:rsidRPr="00AE3FF7">
        <w:t xml:space="preserve"> for KP typology by county</w:t>
      </w:r>
    </w:p>
    <w:p w14:paraId="0FD98039" w14:textId="77777777" w:rsidR="001B3D41" w:rsidRPr="006B7BB3" w:rsidRDefault="001B3D41" w:rsidP="006B7BB3"/>
    <w:p w14:paraId="59A3721B" w14:textId="5AEA0A2C" w:rsidR="008B681C" w:rsidRDefault="008B681C" w:rsidP="00FD17F4">
      <w:pPr>
        <w:pStyle w:val="Heading1"/>
      </w:pPr>
      <w:r>
        <w:lastRenderedPageBreak/>
        <w:t>SURVEY METHODS</w:t>
      </w:r>
    </w:p>
    <w:p w14:paraId="4CDB2A73" w14:textId="37711FAE" w:rsidR="008E3703" w:rsidRDefault="00182AC2" w:rsidP="00FD17F4">
      <w:pPr>
        <w:pStyle w:val="Heading2"/>
      </w:pPr>
      <w:r>
        <w:t>Selection of nine counties</w:t>
      </w:r>
    </w:p>
    <w:p w14:paraId="6C79CFDE" w14:textId="384FD77E" w:rsidR="00182AC2" w:rsidRPr="00182AC2" w:rsidRDefault="00182AC2" w:rsidP="00182AC2">
      <w:r>
        <w:t xml:space="preserve">Survey was conducted in the selected nine counties based on </w:t>
      </w:r>
      <w:r w:rsidR="0092260F">
        <w:t xml:space="preserve">high </w:t>
      </w:r>
      <w:r>
        <w:t xml:space="preserve">key population size estimates, </w:t>
      </w:r>
      <w:r w:rsidR="0092260F">
        <w:t>existence of key populations programs</w:t>
      </w:r>
      <w:r w:rsidR="00691AEA">
        <w:t>, HIV prevalence among general population and funding availability.</w:t>
      </w:r>
    </w:p>
    <w:p w14:paraId="76134BBB" w14:textId="330E763F" w:rsidR="008B681C" w:rsidRDefault="008B681C" w:rsidP="00FD17F4">
      <w:pPr>
        <w:pStyle w:val="Heading2"/>
      </w:pPr>
      <w:r>
        <w:t>ENROLLMENT / SAMPLING METHOD</w:t>
      </w:r>
    </w:p>
    <w:p w14:paraId="2E792F71" w14:textId="243DDAAE" w:rsidR="00F55B52" w:rsidRDefault="001C5B6E">
      <w:r>
        <w:t>Potential participants were enrolled in the survey using respondent driven sampling</w:t>
      </w:r>
      <w:r w:rsidR="002A56CE">
        <w:t xml:space="preserve"> (RDS)</w:t>
      </w:r>
      <w:r w:rsidR="00B06BFB">
        <w:t xml:space="preserve">. For each </w:t>
      </w:r>
      <w:r w:rsidR="00BE38D8">
        <w:t xml:space="preserve">population typology, seeds were identified </w:t>
      </w:r>
      <w:r w:rsidR="00184812">
        <w:t xml:space="preserve">by the key population community </w:t>
      </w:r>
      <w:r w:rsidR="00D42DFA">
        <w:t xml:space="preserve">stakeholders and survey investigators and met the eligibility criteria for the survey. </w:t>
      </w:r>
      <w:r w:rsidR="00F1486B">
        <w:t xml:space="preserve">Each seed was provided </w:t>
      </w:r>
      <w:r w:rsidR="005D6D3D">
        <w:t>three</w:t>
      </w:r>
      <w:r w:rsidR="0007140A">
        <w:t xml:space="preserve"> </w:t>
      </w:r>
      <w:r w:rsidR="00FB7C35">
        <w:t xml:space="preserve">coded </w:t>
      </w:r>
      <w:r w:rsidR="0007140A">
        <w:t xml:space="preserve">coupons </w:t>
      </w:r>
      <w:r w:rsidR="00A252BD" w:rsidRPr="00932C64">
        <w:rPr>
          <w:rFonts w:cstheme="minorHAnsi"/>
        </w:rPr>
        <w:t>and instructed to give these coupons to persons in their social circle who are members of the same target population</w:t>
      </w:r>
      <w:r w:rsidR="00A252BD">
        <w:rPr>
          <w:rFonts w:cstheme="minorHAnsi"/>
        </w:rPr>
        <w:t xml:space="preserve"> and reside in the same county</w:t>
      </w:r>
      <w:r w:rsidR="00A252BD" w:rsidRPr="00932C64">
        <w:rPr>
          <w:rFonts w:cstheme="minorHAnsi"/>
        </w:rPr>
        <w:t xml:space="preserve">. </w:t>
      </w:r>
      <w:r w:rsidR="00A252BD">
        <w:rPr>
          <w:rFonts w:cstheme="minorHAnsi"/>
        </w:rPr>
        <w:t>Peers</w:t>
      </w:r>
      <w:r w:rsidR="00A252BD" w:rsidRPr="00932C64">
        <w:rPr>
          <w:rFonts w:cstheme="minorHAnsi"/>
        </w:rPr>
        <w:t xml:space="preserve"> receiving these coupons are potential </w:t>
      </w:r>
      <w:r w:rsidR="00A252BD">
        <w:rPr>
          <w:rFonts w:cstheme="minorHAnsi"/>
        </w:rPr>
        <w:t xml:space="preserve">survey </w:t>
      </w:r>
      <w:r w:rsidR="00A252BD" w:rsidRPr="00932C64">
        <w:rPr>
          <w:rFonts w:cstheme="minorHAnsi"/>
        </w:rPr>
        <w:t>participants</w:t>
      </w:r>
      <w:r w:rsidR="00582787">
        <w:rPr>
          <w:rFonts w:cstheme="minorHAnsi"/>
        </w:rPr>
        <w:t xml:space="preserve"> and </w:t>
      </w:r>
      <w:r w:rsidR="00BE71DC">
        <w:rPr>
          <w:rFonts w:cstheme="minorHAnsi"/>
        </w:rPr>
        <w:t xml:space="preserve">continue survey enrollments </w:t>
      </w:r>
      <w:r w:rsidR="00946C0B">
        <w:rPr>
          <w:rFonts w:cstheme="minorHAnsi"/>
        </w:rPr>
        <w:t>through coupons and peer enrollment till sample size is met</w:t>
      </w:r>
      <w:r w:rsidR="00A252BD" w:rsidRPr="00932C64">
        <w:rPr>
          <w:rFonts w:cstheme="minorHAnsi"/>
        </w:rPr>
        <w:t>.</w:t>
      </w:r>
    </w:p>
    <w:p w14:paraId="4816D712" w14:textId="5A545523" w:rsidR="00C90CCA" w:rsidRDefault="00C90CCA" w:rsidP="00FD17F4">
      <w:pPr>
        <w:pStyle w:val="Heading2"/>
      </w:pPr>
      <w:r>
        <w:t>SURVEY SITES AND SAMPLE SIZE</w:t>
      </w:r>
    </w:p>
    <w:p w14:paraId="45543D88" w14:textId="77777777" w:rsidR="00124E1A" w:rsidRDefault="00124E1A" w:rsidP="00124E1A"/>
    <w:p w14:paraId="0588340C" w14:textId="07A3CEE8" w:rsidR="00124E1A" w:rsidRPr="00124E1A" w:rsidRDefault="00124E1A" w:rsidP="00124E1A">
      <w:r>
        <w:t xml:space="preserve">Each county conducted the BBS in </w:t>
      </w:r>
      <w:r w:rsidR="007D4B73">
        <w:t>different populations shown the table below along with the sample size and the name of survey site [or survey site in shown in the map</w:t>
      </w:r>
      <w:r w:rsidR="005C6E17">
        <w:t>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3078"/>
        <w:gridCol w:w="3090"/>
      </w:tblGrid>
      <w:tr w:rsidR="00C90CCA" w14:paraId="77A73C47" w14:textId="77777777" w:rsidTr="00D21B01">
        <w:tc>
          <w:tcPr>
            <w:tcW w:w="3673" w:type="dxa"/>
          </w:tcPr>
          <w:p w14:paraId="76E0A296" w14:textId="77777777" w:rsidR="00C90CCA" w:rsidRDefault="00C90CCA" w:rsidP="00D21B01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Typology</w:t>
            </w:r>
          </w:p>
        </w:tc>
        <w:tc>
          <w:tcPr>
            <w:tcW w:w="3674" w:type="dxa"/>
          </w:tcPr>
          <w:p w14:paraId="22CA3959" w14:textId="09485B35" w:rsidR="00C90CCA" w:rsidRDefault="00C90CCA" w:rsidP="00D21B01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="00304B40">
              <w:rPr>
                <w:color w:val="FF0000"/>
              </w:rPr>
              <w:t>urvey site</w:t>
            </w:r>
          </w:p>
        </w:tc>
        <w:tc>
          <w:tcPr>
            <w:tcW w:w="3674" w:type="dxa"/>
          </w:tcPr>
          <w:p w14:paraId="4306D1B1" w14:textId="3242B16E" w:rsidR="00C90CCA" w:rsidRDefault="00304B40" w:rsidP="00D21B01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Sample size</w:t>
            </w:r>
          </w:p>
        </w:tc>
      </w:tr>
      <w:tr w:rsidR="00C90CCA" w14:paraId="515CE4F4" w14:textId="77777777" w:rsidTr="00D21B01">
        <w:tc>
          <w:tcPr>
            <w:tcW w:w="3673" w:type="dxa"/>
          </w:tcPr>
          <w:p w14:paraId="65C06CD9" w14:textId="77777777" w:rsidR="00C90CCA" w:rsidRDefault="00C90CCA" w:rsidP="00D21B01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Female Sex Workers</w:t>
            </w:r>
          </w:p>
        </w:tc>
        <w:tc>
          <w:tcPr>
            <w:tcW w:w="3674" w:type="dxa"/>
          </w:tcPr>
          <w:p w14:paraId="221CA0D1" w14:textId="439D91DE" w:rsidR="00C90CCA" w:rsidRDefault="00C90CCA" w:rsidP="00D21B01">
            <w:pPr>
              <w:spacing w:before="120" w:after="120"/>
              <w:rPr>
                <w:color w:val="FF0000"/>
              </w:rPr>
            </w:pPr>
          </w:p>
        </w:tc>
        <w:tc>
          <w:tcPr>
            <w:tcW w:w="3674" w:type="dxa"/>
          </w:tcPr>
          <w:p w14:paraId="3F523F8D" w14:textId="77777777" w:rsidR="00C90CCA" w:rsidRDefault="00C90CCA" w:rsidP="00D21B01">
            <w:pPr>
              <w:spacing w:before="120" w:after="120"/>
              <w:rPr>
                <w:color w:val="FF0000"/>
              </w:rPr>
            </w:pPr>
          </w:p>
        </w:tc>
      </w:tr>
      <w:tr w:rsidR="00C90CCA" w14:paraId="164E4F95" w14:textId="77777777" w:rsidTr="00D21B01">
        <w:tc>
          <w:tcPr>
            <w:tcW w:w="3673" w:type="dxa"/>
          </w:tcPr>
          <w:p w14:paraId="73C85195" w14:textId="77777777" w:rsidR="00C90CCA" w:rsidRDefault="00C90CCA" w:rsidP="00D21B01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Men who have sex with men</w:t>
            </w:r>
          </w:p>
        </w:tc>
        <w:tc>
          <w:tcPr>
            <w:tcW w:w="3674" w:type="dxa"/>
          </w:tcPr>
          <w:p w14:paraId="66EEC560" w14:textId="0EF1C160" w:rsidR="00C90CCA" w:rsidRDefault="00C90CCA" w:rsidP="00D21B01">
            <w:pPr>
              <w:spacing w:before="120" w:after="120"/>
              <w:rPr>
                <w:color w:val="FF0000"/>
              </w:rPr>
            </w:pPr>
          </w:p>
        </w:tc>
        <w:tc>
          <w:tcPr>
            <w:tcW w:w="3674" w:type="dxa"/>
          </w:tcPr>
          <w:p w14:paraId="7116E4A4" w14:textId="77777777" w:rsidR="00C90CCA" w:rsidRDefault="00C90CCA" w:rsidP="00D21B01">
            <w:pPr>
              <w:spacing w:before="120" w:after="120"/>
              <w:rPr>
                <w:color w:val="FF0000"/>
              </w:rPr>
            </w:pPr>
          </w:p>
        </w:tc>
      </w:tr>
      <w:tr w:rsidR="00C90CCA" w14:paraId="2228C4DF" w14:textId="77777777" w:rsidTr="00D21B01">
        <w:tc>
          <w:tcPr>
            <w:tcW w:w="3673" w:type="dxa"/>
          </w:tcPr>
          <w:p w14:paraId="554FBF19" w14:textId="77777777" w:rsidR="00C90CCA" w:rsidRDefault="00C90CCA" w:rsidP="00D21B01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People who Inject Drugs</w:t>
            </w:r>
          </w:p>
        </w:tc>
        <w:tc>
          <w:tcPr>
            <w:tcW w:w="3674" w:type="dxa"/>
          </w:tcPr>
          <w:p w14:paraId="6F631638" w14:textId="6B943D8A" w:rsidR="00C90CCA" w:rsidRDefault="00C90CCA" w:rsidP="00D21B01">
            <w:pPr>
              <w:spacing w:before="120" w:after="120"/>
              <w:rPr>
                <w:color w:val="FF0000"/>
              </w:rPr>
            </w:pPr>
          </w:p>
        </w:tc>
        <w:tc>
          <w:tcPr>
            <w:tcW w:w="3674" w:type="dxa"/>
          </w:tcPr>
          <w:p w14:paraId="47585103" w14:textId="77777777" w:rsidR="00C90CCA" w:rsidRDefault="00C90CCA" w:rsidP="00D21B01">
            <w:pPr>
              <w:spacing w:before="120" w:after="120"/>
              <w:rPr>
                <w:color w:val="FF0000"/>
              </w:rPr>
            </w:pPr>
          </w:p>
        </w:tc>
      </w:tr>
      <w:tr w:rsidR="00C90CCA" w14:paraId="32DDB007" w14:textId="77777777" w:rsidTr="00D21B01">
        <w:tc>
          <w:tcPr>
            <w:tcW w:w="3673" w:type="dxa"/>
          </w:tcPr>
          <w:p w14:paraId="11155E41" w14:textId="77777777" w:rsidR="00C90CCA" w:rsidRDefault="00C90CCA" w:rsidP="00D21B01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Transgender persons</w:t>
            </w:r>
          </w:p>
        </w:tc>
        <w:tc>
          <w:tcPr>
            <w:tcW w:w="3674" w:type="dxa"/>
          </w:tcPr>
          <w:p w14:paraId="7BCDA2C6" w14:textId="3109C3C8" w:rsidR="00C90CCA" w:rsidRDefault="00C90CCA" w:rsidP="00D21B01">
            <w:pPr>
              <w:spacing w:before="120" w:after="120"/>
              <w:rPr>
                <w:color w:val="FF0000"/>
              </w:rPr>
            </w:pPr>
          </w:p>
        </w:tc>
        <w:tc>
          <w:tcPr>
            <w:tcW w:w="3674" w:type="dxa"/>
          </w:tcPr>
          <w:p w14:paraId="1AEA8ADB" w14:textId="77777777" w:rsidR="00C90CCA" w:rsidRDefault="00C90CCA" w:rsidP="00D21B01">
            <w:pPr>
              <w:spacing w:before="120" w:after="120"/>
              <w:rPr>
                <w:color w:val="FF0000"/>
              </w:rPr>
            </w:pPr>
          </w:p>
        </w:tc>
      </w:tr>
    </w:tbl>
    <w:p w14:paraId="3CCBF0C6" w14:textId="77777777" w:rsidR="00C90CCA" w:rsidRDefault="00C90CCA"/>
    <w:p w14:paraId="13D8B828" w14:textId="77777777" w:rsidR="00C90CCA" w:rsidRDefault="00C90CCA"/>
    <w:p w14:paraId="44BF3ADC" w14:textId="3A7C27FD" w:rsidR="008B681C" w:rsidRDefault="008B681C" w:rsidP="00FD17F4">
      <w:pPr>
        <w:pStyle w:val="Heading2"/>
      </w:pPr>
      <w:r>
        <w:t>ELIGIBILITY SCREENING</w:t>
      </w:r>
    </w:p>
    <w:p w14:paraId="5152C6FF" w14:textId="1EDB5E0A" w:rsidR="008B681C" w:rsidRDefault="008B681C"/>
    <w:p w14:paraId="11DA60BD" w14:textId="67F68C6A" w:rsidR="00EA645C" w:rsidRDefault="00EA645C">
      <w:r>
        <w:t xml:space="preserve">All potential participants </w:t>
      </w:r>
      <w:r w:rsidR="007C4394">
        <w:t xml:space="preserve">had to </w:t>
      </w:r>
      <w:r w:rsidR="00BC4A45">
        <w:t xml:space="preserve">be 18 years of age or older, </w:t>
      </w:r>
      <w:r w:rsidR="007C4394">
        <w:t>reside in the survey area, able to communicate in Kiswahili or English and are in possession of a valid peer enrolment</w:t>
      </w:r>
      <w:r w:rsidR="00B45569">
        <w:t xml:space="preserve"> coupon</w:t>
      </w:r>
      <w:r w:rsidR="007C4394">
        <w:t xml:space="preserve">. </w:t>
      </w:r>
      <w:r w:rsidR="00E9652C">
        <w:t xml:space="preserve">The typology specific eligibility </w:t>
      </w:r>
      <w:r w:rsidR="00963F59">
        <w:t>criteria are:</w:t>
      </w:r>
    </w:p>
    <w:p w14:paraId="147CFCF0" w14:textId="78759F50" w:rsidR="00AE012B" w:rsidRPr="00E51407" w:rsidRDefault="00AE012B" w:rsidP="00AE012B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Bidi"/>
        </w:rPr>
      </w:pPr>
      <w:r w:rsidRPr="00E51407">
        <w:rPr>
          <w:rFonts w:asciiTheme="minorHAnsi" w:hAnsiTheme="minorHAnsi" w:cstheme="minorBidi"/>
        </w:rPr>
        <w:t>FSWs</w:t>
      </w:r>
      <w:r w:rsidR="008A3189">
        <w:rPr>
          <w:rFonts w:asciiTheme="minorHAnsi" w:hAnsiTheme="minorHAnsi" w:cstheme="minorBidi"/>
        </w:rPr>
        <w:t>: b</w:t>
      </w:r>
      <w:r w:rsidRPr="00E51407">
        <w:rPr>
          <w:rFonts w:asciiTheme="minorHAnsi" w:hAnsiTheme="minorHAnsi" w:cstheme="minorBidi"/>
        </w:rPr>
        <w:t>iologically female</w:t>
      </w:r>
      <w:r w:rsidR="00E03A7A">
        <w:rPr>
          <w:rFonts w:asciiTheme="minorHAnsi" w:hAnsiTheme="minorHAnsi" w:cstheme="minorBidi"/>
        </w:rPr>
        <w:t xml:space="preserve">; </w:t>
      </w:r>
      <w:r w:rsidRPr="00E51407">
        <w:rPr>
          <w:rFonts w:asciiTheme="minorHAnsi" w:hAnsiTheme="minorHAnsi" w:cstheme="minorBidi"/>
        </w:rPr>
        <w:t>received money or gifts in exchange for sex at least once in the three months prior to interview</w:t>
      </w:r>
      <w:r w:rsidR="00E66277">
        <w:rPr>
          <w:rFonts w:asciiTheme="minorHAnsi" w:hAnsiTheme="minorHAnsi" w:cstheme="minorBidi"/>
        </w:rPr>
        <w:t>.</w:t>
      </w:r>
    </w:p>
    <w:p w14:paraId="1A004C3F" w14:textId="7F95C010" w:rsidR="00AE012B" w:rsidRPr="00E51407" w:rsidRDefault="00AE012B" w:rsidP="00AE012B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E51407">
        <w:rPr>
          <w:rFonts w:asciiTheme="minorHAnsi" w:hAnsiTheme="minorHAnsi" w:cstheme="minorHAnsi"/>
        </w:rPr>
        <w:t>MSM</w:t>
      </w:r>
      <w:r w:rsidR="00962354">
        <w:rPr>
          <w:rFonts w:asciiTheme="minorHAnsi" w:hAnsiTheme="minorHAnsi" w:cstheme="minorHAnsi"/>
        </w:rPr>
        <w:t xml:space="preserve">: </w:t>
      </w:r>
      <w:r w:rsidRPr="00E51407">
        <w:rPr>
          <w:rFonts w:asciiTheme="minorHAnsi" w:hAnsiTheme="minorHAnsi" w:cstheme="minorHAnsi"/>
        </w:rPr>
        <w:t>biologically male</w:t>
      </w:r>
      <w:r w:rsidR="0077556A">
        <w:rPr>
          <w:rFonts w:asciiTheme="minorHAnsi" w:hAnsiTheme="minorHAnsi" w:cstheme="minorHAnsi"/>
        </w:rPr>
        <w:t>;</w:t>
      </w:r>
      <w:r w:rsidRPr="00E51407">
        <w:rPr>
          <w:rFonts w:asciiTheme="minorHAnsi" w:hAnsiTheme="minorHAnsi" w:cstheme="minorHAnsi"/>
        </w:rPr>
        <w:t xml:space="preserve"> report at least one anal</w:t>
      </w:r>
      <w:r>
        <w:rPr>
          <w:rFonts w:asciiTheme="minorHAnsi" w:hAnsiTheme="minorHAnsi" w:cstheme="minorHAnsi"/>
        </w:rPr>
        <w:t xml:space="preserve"> or oral</w:t>
      </w:r>
      <w:r w:rsidRPr="00E51407">
        <w:rPr>
          <w:rFonts w:asciiTheme="minorHAnsi" w:hAnsiTheme="minorHAnsi" w:cstheme="minorHAnsi"/>
        </w:rPr>
        <w:t xml:space="preserve"> sex act with a biological male in the six months prior to </w:t>
      </w:r>
      <w:r>
        <w:rPr>
          <w:rFonts w:asciiTheme="minorHAnsi" w:hAnsiTheme="minorHAnsi" w:cstheme="minorHAnsi"/>
        </w:rPr>
        <w:t xml:space="preserve">the </w:t>
      </w:r>
      <w:r w:rsidRPr="00E51407">
        <w:rPr>
          <w:rFonts w:asciiTheme="minorHAnsi" w:hAnsiTheme="minorHAnsi" w:cstheme="minorHAnsi"/>
        </w:rPr>
        <w:t>interview</w:t>
      </w:r>
      <w:r w:rsidR="00E66277">
        <w:rPr>
          <w:rFonts w:asciiTheme="minorHAnsi" w:hAnsiTheme="minorHAnsi" w:cstheme="minorHAnsi"/>
        </w:rPr>
        <w:t>.</w:t>
      </w:r>
    </w:p>
    <w:p w14:paraId="1879C430" w14:textId="7E9C37F3" w:rsidR="00AE012B" w:rsidRPr="00E51407" w:rsidRDefault="00AE012B" w:rsidP="00AE012B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E51407">
        <w:rPr>
          <w:rFonts w:asciiTheme="minorHAnsi" w:hAnsiTheme="minorHAnsi" w:cstheme="minorHAnsi"/>
        </w:rPr>
        <w:lastRenderedPageBreak/>
        <w:t>PWID</w:t>
      </w:r>
      <w:r w:rsidR="00BC4A45">
        <w:rPr>
          <w:rFonts w:asciiTheme="minorHAnsi" w:hAnsiTheme="minorHAnsi" w:cstheme="minorHAnsi"/>
        </w:rPr>
        <w:t xml:space="preserve">: </w:t>
      </w:r>
      <w:r w:rsidRPr="00E51407">
        <w:rPr>
          <w:rFonts w:asciiTheme="minorHAnsi" w:hAnsiTheme="minorHAnsi" w:cstheme="minorHAnsi"/>
        </w:rPr>
        <w:t>men and women</w:t>
      </w:r>
      <w:r w:rsidR="00BC4A45">
        <w:rPr>
          <w:rFonts w:asciiTheme="minorHAnsi" w:hAnsiTheme="minorHAnsi" w:cstheme="minorHAnsi"/>
        </w:rPr>
        <w:t xml:space="preserve">; </w:t>
      </w:r>
      <w:r w:rsidRPr="00E51407">
        <w:rPr>
          <w:rFonts w:asciiTheme="minorHAnsi" w:hAnsiTheme="minorHAnsi" w:cstheme="minorHAnsi"/>
        </w:rPr>
        <w:t xml:space="preserve">report at least one drug injecting episode </w:t>
      </w:r>
      <w:r>
        <w:rPr>
          <w:rFonts w:asciiTheme="minorHAnsi" w:hAnsiTheme="minorHAnsi" w:cstheme="minorHAnsi"/>
        </w:rPr>
        <w:t xml:space="preserve">for non-medical purposes </w:t>
      </w:r>
      <w:r w:rsidRPr="00E51407">
        <w:rPr>
          <w:rFonts w:asciiTheme="minorHAnsi" w:hAnsiTheme="minorHAnsi" w:cstheme="minorHAnsi"/>
        </w:rPr>
        <w:t>in the three months prior to interview</w:t>
      </w:r>
      <w:r w:rsidR="00E66277">
        <w:rPr>
          <w:rFonts w:asciiTheme="minorHAnsi" w:hAnsiTheme="minorHAnsi" w:cstheme="minorHAnsi"/>
        </w:rPr>
        <w:t>.</w:t>
      </w:r>
    </w:p>
    <w:p w14:paraId="12681ADD" w14:textId="4A1B5CCA" w:rsidR="00AE012B" w:rsidRPr="00E51407" w:rsidRDefault="00AE012B" w:rsidP="00AE012B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E51407">
        <w:rPr>
          <w:rFonts w:asciiTheme="minorHAnsi" w:hAnsiTheme="minorHAnsi" w:cstheme="minorHAnsi"/>
          <w:color w:val="000000" w:themeColor="text1"/>
        </w:rPr>
        <w:t>TG persons</w:t>
      </w:r>
      <w:r w:rsidR="00BC4A45">
        <w:rPr>
          <w:rFonts w:asciiTheme="minorHAnsi" w:hAnsiTheme="minorHAnsi" w:cstheme="minorHAnsi"/>
          <w:color w:val="000000" w:themeColor="text1"/>
        </w:rPr>
        <w:t>:</w:t>
      </w:r>
      <w:r w:rsidRPr="00E51407">
        <w:rPr>
          <w:rFonts w:asciiTheme="minorHAnsi" w:hAnsiTheme="minorHAnsi" w:cstheme="minorHAnsi"/>
          <w:color w:val="000000" w:themeColor="text1"/>
        </w:rPr>
        <w:t xml:space="preserve"> people whose gender identity and expression at the time of the interview does not conform to the sex assigned to them at birth</w:t>
      </w:r>
      <w:r w:rsidRPr="00E51407">
        <w:rPr>
          <w:rFonts w:asciiTheme="minorHAnsi" w:hAnsiTheme="minorHAnsi" w:cs="Segoe UI"/>
          <w:color w:val="000000" w:themeColor="text1"/>
        </w:rPr>
        <w:t>.</w:t>
      </w:r>
    </w:p>
    <w:p w14:paraId="2EBFF093" w14:textId="77777777" w:rsidR="00AE012B" w:rsidRDefault="00AE012B"/>
    <w:p w14:paraId="424593D6" w14:textId="54014C0D" w:rsidR="008B681C" w:rsidRDefault="008B681C" w:rsidP="00FD17F4">
      <w:pPr>
        <w:pStyle w:val="Heading2"/>
      </w:pPr>
      <w:r>
        <w:t>INTERVIEWING</w:t>
      </w:r>
    </w:p>
    <w:p w14:paraId="4204B5CD" w14:textId="6D7DA092" w:rsidR="008B681C" w:rsidRDefault="00BB10E6">
      <w:r>
        <w:t xml:space="preserve">Potential participants who </w:t>
      </w:r>
      <w:r w:rsidR="004F361E">
        <w:t>screened eligible for participating in the survey and consented for survey participation</w:t>
      </w:r>
      <w:r w:rsidR="00810CF6">
        <w:t xml:space="preserve"> were offered an interview which </w:t>
      </w:r>
      <w:r w:rsidR="00872743">
        <w:t xml:space="preserve">included </w:t>
      </w:r>
      <w:r w:rsidR="00F8497E" w:rsidRPr="00F8497E">
        <w:t xml:space="preserve">demographics, HIV-relevant </w:t>
      </w:r>
      <w:proofErr w:type="spellStart"/>
      <w:r w:rsidR="00F8497E" w:rsidRPr="00F8497E">
        <w:t>behaviours</w:t>
      </w:r>
      <w:proofErr w:type="spellEnd"/>
      <w:r w:rsidR="00F8497E" w:rsidRPr="00F8497E">
        <w:t>, symptoms of HIV/STI, as well as on HIV/STI-related knowledge, attitude, practices, stigma, perceptions, and questions related to mental health or other health-related domains.</w:t>
      </w:r>
      <w:r w:rsidR="00830D84">
        <w:t xml:space="preserve"> Results from a few select topics are presented in this report. </w:t>
      </w:r>
    </w:p>
    <w:p w14:paraId="4B595C54" w14:textId="468CA339" w:rsidR="008B681C" w:rsidRDefault="008B681C" w:rsidP="00FD17F4">
      <w:pPr>
        <w:pStyle w:val="Heading2"/>
      </w:pPr>
      <w:r>
        <w:t>BIOMARKER TESTING PROCEDURES</w:t>
      </w:r>
    </w:p>
    <w:p w14:paraId="06DD9862" w14:textId="011F844B" w:rsidR="007963D7" w:rsidRDefault="00DF3375" w:rsidP="00DF3375">
      <w:pPr>
        <w:autoSpaceDE w:val="0"/>
        <w:autoSpaceDN w:val="0"/>
        <w:adjustRightInd w:val="0"/>
        <w:rPr>
          <w:color w:val="000000" w:themeColor="text1"/>
        </w:rPr>
      </w:pPr>
      <w:r>
        <w:t xml:space="preserve">All consenting participants were offered </w:t>
      </w:r>
      <w:r w:rsidR="009B72C0">
        <w:t xml:space="preserve">rapid </w:t>
      </w:r>
      <w:r w:rsidRPr="4E69EB74">
        <w:rPr>
          <w:color w:val="000000" w:themeColor="text1"/>
        </w:rPr>
        <w:t xml:space="preserve">HIV </w:t>
      </w:r>
      <w:r w:rsidR="009B72C0">
        <w:rPr>
          <w:color w:val="000000" w:themeColor="text1"/>
        </w:rPr>
        <w:t xml:space="preserve">testing using the national algorithm for HIV </w:t>
      </w:r>
      <w:r w:rsidRPr="4E69EB74">
        <w:rPr>
          <w:color w:val="000000" w:themeColor="text1"/>
        </w:rPr>
        <w:t xml:space="preserve">diagnosis, </w:t>
      </w:r>
      <w:r w:rsidR="009B72C0">
        <w:rPr>
          <w:color w:val="000000" w:themeColor="text1"/>
        </w:rPr>
        <w:t xml:space="preserve">and </w:t>
      </w:r>
      <w:r w:rsidRPr="4E69EB74">
        <w:rPr>
          <w:color w:val="000000" w:themeColor="text1"/>
        </w:rPr>
        <w:t>Syphilis</w:t>
      </w:r>
      <w:r w:rsidR="007963D7">
        <w:rPr>
          <w:color w:val="000000" w:themeColor="text1"/>
        </w:rPr>
        <w:t xml:space="preserve"> testing at the survey site with immediate return of results</w:t>
      </w:r>
      <w:r w:rsidR="00364A51">
        <w:rPr>
          <w:color w:val="000000" w:themeColor="text1"/>
        </w:rPr>
        <w:t xml:space="preserve"> and linkage to care and treatment</w:t>
      </w:r>
      <w:r w:rsidR="007963D7">
        <w:rPr>
          <w:color w:val="000000" w:themeColor="text1"/>
        </w:rPr>
        <w:t xml:space="preserve">. </w:t>
      </w:r>
      <w:r w:rsidR="00E20F86">
        <w:rPr>
          <w:color w:val="000000" w:themeColor="text1"/>
        </w:rPr>
        <w:t xml:space="preserve">Treatment for syphilis was provided as a part of the survey. </w:t>
      </w:r>
    </w:p>
    <w:p w14:paraId="3FAD4797" w14:textId="53E6C9AB" w:rsidR="00DF3375" w:rsidRDefault="00372B7B" w:rsidP="00DF3375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rPr>
          <w:color w:val="000000" w:themeColor="text1"/>
        </w:rPr>
        <w:t>Testing for</w:t>
      </w:r>
      <w:r w:rsidR="00DF3375" w:rsidRPr="4E69EB74">
        <w:rPr>
          <w:color w:val="000000" w:themeColor="text1"/>
        </w:rPr>
        <w:t xml:space="preserve"> Chlamydia Trachomatis, Neisseria Gonorrhea</w:t>
      </w:r>
      <w:r w:rsidR="00DF3375">
        <w:rPr>
          <w:color w:val="000000" w:themeColor="text1"/>
        </w:rPr>
        <w:t>,</w:t>
      </w:r>
      <w:r w:rsidR="00DF3375">
        <w:rPr>
          <w:rFonts w:cstheme="minorHAnsi"/>
          <w:color w:val="000000" w:themeColor="text1"/>
        </w:rPr>
        <w:t xml:space="preserve"> H</w:t>
      </w:r>
      <w:r w:rsidR="00DF3375" w:rsidRPr="00CA6851">
        <w:rPr>
          <w:rFonts w:cstheme="minorHAnsi"/>
          <w:color w:val="000000" w:themeColor="text1"/>
        </w:rPr>
        <w:t>epatitis C,</w:t>
      </w:r>
      <w:r w:rsidR="00DF3375">
        <w:rPr>
          <w:rFonts w:cstheme="minorHAnsi"/>
          <w:color w:val="000000" w:themeColor="text1"/>
        </w:rPr>
        <w:t xml:space="preserve"> </w:t>
      </w:r>
      <w:r w:rsidR="00D55605">
        <w:rPr>
          <w:rFonts w:cstheme="minorHAnsi"/>
          <w:color w:val="000000" w:themeColor="text1"/>
        </w:rPr>
        <w:t xml:space="preserve">Hepatitis B </w:t>
      </w:r>
      <w:r>
        <w:rPr>
          <w:rFonts w:cstheme="minorHAnsi"/>
          <w:color w:val="000000" w:themeColor="text1"/>
        </w:rPr>
        <w:t>was done at NHRL and results were returned to the participants at their return visits</w:t>
      </w:r>
      <w:r w:rsidR="00F27BEB">
        <w:rPr>
          <w:rFonts w:cstheme="minorHAnsi"/>
          <w:color w:val="000000" w:themeColor="text1"/>
        </w:rPr>
        <w:t xml:space="preserve"> to the survey sites</w:t>
      </w:r>
      <w:r w:rsidR="00364A51">
        <w:rPr>
          <w:rFonts w:cstheme="minorHAnsi"/>
          <w:color w:val="000000" w:themeColor="text1"/>
        </w:rPr>
        <w:t xml:space="preserve"> with linkage to care and treatment. </w:t>
      </w:r>
    </w:p>
    <w:p w14:paraId="148D1E23" w14:textId="110F7621" w:rsidR="00C90CCA" w:rsidRDefault="00C90CCA"/>
    <w:p w14:paraId="6EB89991" w14:textId="2CE310B4" w:rsidR="00882258" w:rsidRDefault="00882258" w:rsidP="00FD17F4">
      <w:pPr>
        <w:pStyle w:val="Heading2"/>
      </w:pPr>
      <w:r>
        <w:t xml:space="preserve">DATA ANALYSIS AND WEIGHTING </w:t>
      </w:r>
    </w:p>
    <w:p w14:paraId="2896A8AB" w14:textId="484142E8" w:rsidR="002938C3" w:rsidRDefault="002938C3" w:rsidP="00882258"/>
    <w:p w14:paraId="0825EECE" w14:textId="77777777" w:rsidR="00AA509F" w:rsidRDefault="000D444E" w:rsidP="00882258">
      <w:r w:rsidRPr="007968B1">
        <w:rPr>
          <w:b/>
          <w:bCs/>
        </w:rPr>
        <w:t>Prevalence</w:t>
      </w:r>
      <w:r>
        <w:t xml:space="preserve"> was calculated using all consented individuals with a valid HIV test result</w:t>
      </w:r>
      <w:r w:rsidR="00AA509F">
        <w:t xml:space="preserve"> in the denominator and individuals with an HIV-positive test results based on the national HIV diagnosis algorithm in the numerator.</w:t>
      </w:r>
    </w:p>
    <w:p w14:paraId="37B4B7DE" w14:textId="371427A0" w:rsidR="00DF44CD" w:rsidRDefault="00AA509F" w:rsidP="00882258">
      <w:r w:rsidRPr="007968B1">
        <w:rPr>
          <w:b/>
          <w:bCs/>
        </w:rPr>
        <w:t>Viral load suppression</w:t>
      </w:r>
      <w:r>
        <w:t xml:space="preserve"> was calculated </w:t>
      </w:r>
      <w:r w:rsidR="00482504">
        <w:t>among all individuals who tested HIV positive in the survey</w:t>
      </w:r>
      <w:r w:rsidR="00416560">
        <w:t>. Viral suppression was defined in two ways: 1. &lt;200 and 2. &lt;1000 copies of HIV RNA per millilit</w:t>
      </w:r>
      <w:r w:rsidR="0062417E">
        <w:t xml:space="preserve">er. </w:t>
      </w:r>
    </w:p>
    <w:p w14:paraId="4C127818" w14:textId="12E70F82" w:rsidR="00C42EF5" w:rsidRPr="006F7F3F" w:rsidRDefault="00B645C7" w:rsidP="00882258">
      <w:pPr>
        <w:rPr>
          <w:b/>
          <w:bCs/>
        </w:rPr>
      </w:pPr>
      <w:r>
        <w:rPr>
          <w:b/>
          <w:bCs/>
        </w:rPr>
        <w:t xml:space="preserve">Status of </w:t>
      </w:r>
      <w:r w:rsidR="00C42EF5" w:rsidRPr="006F7F3F">
        <w:rPr>
          <w:b/>
          <w:bCs/>
        </w:rPr>
        <w:t>95-95-95</w:t>
      </w:r>
      <w:r w:rsidR="00AC5642">
        <w:rPr>
          <w:b/>
          <w:bCs/>
        </w:rPr>
        <w:t xml:space="preserve"> targets </w:t>
      </w:r>
    </w:p>
    <w:p w14:paraId="7D27B45B" w14:textId="2C8DAC3A" w:rsidR="0039753E" w:rsidRDefault="006979CF" w:rsidP="00882258">
      <w:pPr>
        <w:rPr>
          <w:sz w:val="20"/>
          <w:szCs w:val="20"/>
        </w:rPr>
      </w:pPr>
      <w:r w:rsidRPr="006F7F3F">
        <w:rPr>
          <w:b/>
          <w:bCs/>
        </w:rPr>
        <w:t>1</w:t>
      </w:r>
      <w:r w:rsidRPr="006F7F3F">
        <w:rPr>
          <w:b/>
          <w:bCs/>
          <w:vertAlign w:val="superscript"/>
        </w:rPr>
        <w:t>st</w:t>
      </w:r>
      <w:r w:rsidRPr="006F7F3F">
        <w:rPr>
          <w:b/>
          <w:bCs/>
        </w:rPr>
        <w:t xml:space="preserve"> 95 - </w:t>
      </w:r>
      <w:r w:rsidR="0039753E" w:rsidRPr="006F7F3F">
        <w:rPr>
          <w:b/>
          <w:bCs/>
        </w:rPr>
        <w:t xml:space="preserve">Awareness of </w:t>
      </w:r>
      <w:r w:rsidRPr="006F7F3F">
        <w:rPr>
          <w:b/>
          <w:bCs/>
        </w:rPr>
        <w:t xml:space="preserve">HIV positive </w:t>
      </w:r>
      <w:r w:rsidR="0039753E" w:rsidRPr="006F7F3F">
        <w:rPr>
          <w:b/>
          <w:bCs/>
        </w:rPr>
        <w:t xml:space="preserve">status: </w:t>
      </w:r>
      <w:r w:rsidR="0039753E" w:rsidRPr="623517BE">
        <w:rPr>
          <w:sz w:val="20"/>
          <w:szCs w:val="20"/>
        </w:rPr>
        <w:t>Awareness is defined as people living with HIV who disclosed a prior HIV diagnosis and/or had suppressed viral load</w:t>
      </w:r>
      <w:r w:rsidR="00741DFD">
        <w:rPr>
          <w:sz w:val="20"/>
          <w:szCs w:val="20"/>
        </w:rPr>
        <w:t xml:space="preserve"> (&lt;</w:t>
      </w:r>
      <w:r w:rsidR="00B46F06">
        <w:rPr>
          <w:sz w:val="20"/>
          <w:szCs w:val="20"/>
        </w:rPr>
        <w:t>200 or 1000 copies / mL)</w:t>
      </w:r>
    </w:p>
    <w:p w14:paraId="77EDE2B2" w14:textId="5CCA47BB" w:rsidR="0039753E" w:rsidRDefault="001904EA" w:rsidP="00882258">
      <w:pPr>
        <w:rPr>
          <w:sz w:val="20"/>
          <w:szCs w:val="20"/>
        </w:rPr>
      </w:pPr>
      <w:r w:rsidRPr="006F7F3F">
        <w:rPr>
          <w:b/>
          <w:bCs/>
        </w:rPr>
        <w:t>2</w:t>
      </w:r>
      <w:r w:rsidRPr="006F7F3F">
        <w:rPr>
          <w:b/>
          <w:bCs/>
          <w:vertAlign w:val="superscript"/>
        </w:rPr>
        <w:t>nd</w:t>
      </w:r>
      <w:r w:rsidRPr="006F7F3F">
        <w:rPr>
          <w:b/>
          <w:bCs/>
        </w:rPr>
        <w:t xml:space="preserve"> 95 </w:t>
      </w:r>
      <w:r w:rsidR="00F20E25" w:rsidRPr="006F7F3F">
        <w:rPr>
          <w:b/>
          <w:bCs/>
        </w:rPr>
        <w:t>–</w:t>
      </w:r>
      <w:r w:rsidRPr="006F7F3F">
        <w:rPr>
          <w:b/>
          <w:bCs/>
        </w:rPr>
        <w:t xml:space="preserve"> </w:t>
      </w:r>
      <w:r w:rsidR="00F20E25" w:rsidRPr="006F7F3F">
        <w:rPr>
          <w:b/>
          <w:bCs/>
        </w:rPr>
        <w:t xml:space="preserve">Aware </w:t>
      </w:r>
      <w:r w:rsidR="004837A0" w:rsidRPr="006F7F3F">
        <w:rPr>
          <w:b/>
          <w:bCs/>
        </w:rPr>
        <w:t xml:space="preserve">of HIV positive status </w:t>
      </w:r>
      <w:r w:rsidR="00C77FF5" w:rsidRPr="006F7F3F">
        <w:rPr>
          <w:b/>
          <w:bCs/>
        </w:rPr>
        <w:t xml:space="preserve">and on ART: </w:t>
      </w:r>
      <w:r w:rsidR="00741DFD">
        <w:t>Being on ART is defined as those who disclosed current use of ART and/or had suppressed viral load</w:t>
      </w:r>
      <w:r w:rsidR="00B46F06">
        <w:t xml:space="preserve"> </w:t>
      </w:r>
      <w:r w:rsidR="00B46F06">
        <w:rPr>
          <w:sz w:val="20"/>
          <w:szCs w:val="20"/>
        </w:rPr>
        <w:t>(&lt;200 or 1000 copies / mL).</w:t>
      </w:r>
    </w:p>
    <w:p w14:paraId="709F1443" w14:textId="37F66D23" w:rsidR="00156CF3" w:rsidRDefault="003A2398" w:rsidP="00882258">
      <w:r w:rsidRPr="006F7F3F">
        <w:rPr>
          <w:b/>
          <w:bCs/>
        </w:rPr>
        <w:t>3</w:t>
      </w:r>
      <w:r w:rsidRPr="006F7F3F">
        <w:rPr>
          <w:b/>
          <w:bCs/>
          <w:vertAlign w:val="superscript"/>
        </w:rPr>
        <w:t>rd</w:t>
      </w:r>
      <w:r w:rsidRPr="006F7F3F">
        <w:rPr>
          <w:b/>
          <w:bCs/>
        </w:rPr>
        <w:t xml:space="preserve"> 95 </w:t>
      </w:r>
      <w:r w:rsidR="00BF44AE" w:rsidRPr="006F7F3F">
        <w:rPr>
          <w:b/>
          <w:bCs/>
        </w:rPr>
        <w:t>–</w:t>
      </w:r>
      <w:r w:rsidRPr="006F7F3F">
        <w:rPr>
          <w:b/>
          <w:bCs/>
        </w:rPr>
        <w:t xml:space="preserve"> </w:t>
      </w:r>
      <w:r w:rsidR="00BF44AE" w:rsidRPr="006F7F3F">
        <w:rPr>
          <w:b/>
          <w:bCs/>
        </w:rPr>
        <w:t xml:space="preserve">Aware of </w:t>
      </w:r>
      <w:r w:rsidR="00E61BA9" w:rsidRPr="006F7F3F">
        <w:rPr>
          <w:b/>
          <w:bCs/>
        </w:rPr>
        <w:t xml:space="preserve">HIV positive </w:t>
      </w:r>
      <w:r w:rsidR="00AA7F83" w:rsidRPr="006F7F3F">
        <w:rPr>
          <w:b/>
          <w:bCs/>
        </w:rPr>
        <w:t xml:space="preserve">status and </w:t>
      </w:r>
      <w:r w:rsidR="00A32D4B" w:rsidRPr="006F7F3F">
        <w:rPr>
          <w:b/>
          <w:bCs/>
        </w:rPr>
        <w:t xml:space="preserve">on ART </w:t>
      </w:r>
      <w:r w:rsidR="00B31126" w:rsidRPr="006F7F3F">
        <w:rPr>
          <w:b/>
          <w:bCs/>
        </w:rPr>
        <w:t>and virally suppressed:</w:t>
      </w:r>
      <w:r w:rsidR="00B31126">
        <w:t xml:space="preserve"> </w:t>
      </w:r>
      <w:r>
        <w:t>Viral suppression among people</w:t>
      </w:r>
      <w:r w:rsidR="00156CF3">
        <w:t xml:space="preserve"> living with HIV who knew their HIV status and were on ART</w:t>
      </w:r>
      <w:r>
        <w:t xml:space="preserve">. </w:t>
      </w:r>
    </w:p>
    <w:p w14:paraId="2B565869" w14:textId="7F7E6B47" w:rsidR="0025621D" w:rsidRDefault="002C6BD5" w:rsidP="00882258">
      <w:r>
        <w:t xml:space="preserve">[additional </w:t>
      </w:r>
      <w:r w:rsidR="0076168C">
        <w:t>definitions – hep b, hep c, syphilis, CT, NG</w:t>
      </w:r>
      <w:r w:rsidR="00A156C2">
        <w:t>]</w:t>
      </w:r>
    </w:p>
    <w:p w14:paraId="23AE09C1" w14:textId="2A98EB74" w:rsidR="007968B1" w:rsidRDefault="004D1072" w:rsidP="00356BE6">
      <w:r w:rsidRPr="007D5E25">
        <w:rPr>
          <w:color w:val="FF0000"/>
        </w:rPr>
        <w:lastRenderedPageBreak/>
        <w:t xml:space="preserve">Each survey site’s data was weighted using self-reported network size and </w:t>
      </w:r>
      <w:proofErr w:type="spellStart"/>
      <w:r w:rsidRPr="007D5E25">
        <w:rPr>
          <w:color w:val="FF0000"/>
        </w:rPr>
        <w:t>Gile’s</w:t>
      </w:r>
      <w:proofErr w:type="spellEnd"/>
      <w:r w:rsidRPr="007D5E25">
        <w:rPr>
          <w:color w:val="FF0000"/>
        </w:rPr>
        <w:t xml:space="preserve"> Sequential Sampling in RDS-Analyst</w:t>
      </w:r>
      <w:r w:rsidR="00A56B58">
        <w:rPr>
          <w:color w:val="FF0000"/>
        </w:rPr>
        <w:t xml:space="preserve"> – </w:t>
      </w:r>
      <w:r w:rsidR="00A56B58" w:rsidRPr="00A56B58">
        <w:rPr>
          <w:b/>
          <w:bCs/>
          <w:color w:val="FF0000"/>
        </w:rPr>
        <w:t>is this accurate?</w:t>
      </w:r>
    </w:p>
    <w:p w14:paraId="60C34D44" w14:textId="4DBB40B4" w:rsidR="00BB14EA" w:rsidRDefault="00BB14EA" w:rsidP="00FD17F4">
      <w:pPr>
        <w:pStyle w:val="Heading2"/>
      </w:pPr>
      <w:r>
        <w:t>POPULATION SIZE ESTIMATES</w:t>
      </w:r>
    </w:p>
    <w:p w14:paraId="27CDC880" w14:textId="1C91A301" w:rsidR="00BB14EA" w:rsidRDefault="00BB14EA">
      <w:r>
        <w:br w:type="page"/>
      </w:r>
    </w:p>
    <w:p w14:paraId="5CE8703D" w14:textId="67860001" w:rsidR="008B681C" w:rsidRDefault="008B681C" w:rsidP="00FD17F4">
      <w:pPr>
        <w:pStyle w:val="Heading1"/>
      </w:pPr>
      <w:r>
        <w:lastRenderedPageBreak/>
        <w:t>KEY RESULTS</w:t>
      </w:r>
    </w:p>
    <w:p w14:paraId="13C713C5" w14:textId="3A01CEA3" w:rsidR="008B681C" w:rsidRDefault="00C90CCA" w:rsidP="00FD17F4">
      <w:pPr>
        <w:pStyle w:val="Heading2"/>
      </w:pPr>
      <w:r>
        <w:t>RESPONSE RATE, BY TYPOLOGY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154"/>
        <w:gridCol w:w="986"/>
        <w:gridCol w:w="1320"/>
        <w:gridCol w:w="1320"/>
        <w:gridCol w:w="2419"/>
      </w:tblGrid>
      <w:tr w:rsidR="003258C8" w14:paraId="47C85897" w14:textId="0D68BC2B" w:rsidTr="003258C8">
        <w:tc>
          <w:tcPr>
            <w:tcW w:w="1166" w:type="dxa"/>
          </w:tcPr>
          <w:p w14:paraId="1C9FEEE5" w14:textId="4018C91B" w:rsidR="003258C8" w:rsidRDefault="003258C8">
            <w:r>
              <w:t>TYPOLOGY</w:t>
            </w:r>
          </w:p>
        </w:tc>
        <w:tc>
          <w:tcPr>
            <w:tcW w:w="1154" w:type="dxa"/>
          </w:tcPr>
          <w:p w14:paraId="14F539F8" w14:textId="05E0FD46" w:rsidR="003258C8" w:rsidRDefault="003258C8">
            <w:r>
              <w:t>SCREENED</w:t>
            </w:r>
          </w:p>
        </w:tc>
        <w:tc>
          <w:tcPr>
            <w:tcW w:w="986" w:type="dxa"/>
          </w:tcPr>
          <w:p w14:paraId="1EBD8BD4" w14:textId="7213BE05" w:rsidR="003258C8" w:rsidRDefault="003258C8">
            <w:r>
              <w:t>ELIGIBLE</w:t>
            </w:r>
          </w:p>
        </w:tc>
        <w:tc>
          <w:tcPr>
            <w:tcW w:w="1320" w:type="dxa"/>
          </w:tcPr>
          <w:p w14:paraId="68AA0859" w14:textId="6E5B51C2" w:rsidR="003258C8" w:rsidRDefault="003258C8">
            <w:r>
              <w:t>CONSENTED FOR INTERVIEW</w:t>
            </w:r>
          </w:p>
        </w:tc>
        <w:tc>
          <w:tcPr>
            <w:tcW w:w="1320" w:type="dxa"/>
          </w:tcPr>
          <w:p w14:paraId="07E4F635" w14:textId="2669528F" w:rsidR="003258C8" w:rsidRDefault="003258C8">
            <w:r>
              <w:t>CONSENTED FOR BLOOD COLLECTED</w:t>
            </w:r>
          </w:p>
        </w:tc>
        <w:tc>
          <w:tcPr>
            <w:tcW w:w="2419" w:type="dxa"/>
          </w:tcPr>
          <w:p w14:paraId="0607742C" w14:textId="394E4EFA" w:rsidR="003258C8" w:rsidRDefault="003258C8">
            <w:r>
              <w:t>Response rate [of those eligible, how many participated in an interview]</w:t>
            </w:r>
          </w:p>
        </w:tc>
      </w:tr>
      <w:tr w:rsidR="003258C8" w14:paraId="1CCEA484" w14:textId="2F81D167" w:rsidTr="003258C8">
        <w:tc>
          <w:tcPr>
            <w:tcW w:w="1166" w:type="dxa"/>
          </w:tcPr>
          <w:p w14:paraId="6BFB6A9A" w14:textId="77777777" w:rsidR="003258C8" w:rsidRDefault="003258C8"/>
        </w:tc>
        <w:tc>
          <w:tcPr>
            <w:tcW w:w="1154" w:type="dxa"/>
          </w:tcPr>
          <w:p w14:paraId="49085897" w14:textId="77777777" w:rsidR="003258C8" w:rsidRDefault="003258C8"/>
        </w:tc>
        <w:tc>
          <w:tcPr>
            <w:tcW w:w="986" w:type="dxa"/>
          </w:tcPr>
          <w:p w14:paraId="603B72EB" w14:textId="77777777" w:rsidR="003258C8" w:rsidRDefault="003258C8"/>
        </w:tc>
        <w:tc>
          <w:tcPr>
            <w:tcW w:w="1320" w:type="dxa"/>
          </w:tcPr>
          <w:p w14:paraId="63B487F2" w14:textId="77777777" w:rsidR="003258C8" w:rsidRDefault="003258C8"/>
        </w:tc>
        <w:tc>
          <w:tcPr>
            <w:tcW w:w="1320" w:type="dxa"/>
          </w:tcPr>
          <w:p w14:paraId="138C79B0" w14:textId="77777777" w:rsidR="003258C8" w:rsidRDefault="003258C8"/>
        </w:tc>
        <w:tc>
          <w:tcPr>
            <w:tcW w:w="2419" w:type="dxa"/>
          </w:tcPr>
          <w:p w14:paraId="224B313D" w14:textId="77777777" w:rsidR="003258C8" w:rsidRDefault="003258C8"/>
        </w:tc>
      </w:tr>
      <w:tr w:rsidR="003258C8" w14:paraId="0474FC71" w14:textId="3775DD4E" w:rsidTr="003258C8">
        <w:tc>
          <w:tcPr>
            <w:tcW w:w="1166" w:type="dxa"/>
          </w:tcPr>
          <w:p w14:paraId="3E8A1C18" w14:textId="77777777" w:rsidR="003258C8" w:rsidRDefault="003258C8"/>
        </w:tc>
        <w:tc>
          <w:tcPr>
            <w:tcW w:w="1154" w:type="dxa"/>
          </w:tcPr>
          <w:p w14:paraId="532CC7C3" w14:textId="77777777" w:rsidR="003258C8" w:rsidRDefault="003258C8"/>
        </w:tc>
        <w:tc>
          <w:tcPr>
            <w:tcW w:w="986" w:type="dxa"/>
          </w:tcPr>
          <w:p w14:paraId="77F86B03" w14:textId="77777777" w:rsidR="003258C8" w:rsidRDefault="003258C8"/>
        </w:tc>
        <w:tc>
          <w:tcPr>
            <w:tcW w:w="1320" w:type="dxa"/>
          </w:tcPr>
          <w:p w14:paraId="102E56DE" w14:textId="77777777" w:rsidR="003258C8" w:rsidRDefault="003258C8"/>
        </w:tc>
        <w:tc>
          <w:tcPr>
            <w:tcW w:w="1320" w:type="dxa"/>
          </w:tcPr>
          <w:p w14:paraId="60B0C417" w14:textId="77777777" w:rsidR="003258C8" w:rsidRDefault="003258C8"/>
        </w:tc>
        <w:tc>
          <w:tcPr>
            <w:tcW w:w="2419" w:type="dxa"/>
          </w:tcPr>
          <w:p w14:paraId="3FB7CADC" w14:textId="77777777" w:rsidR="003258C8" w:rsidRDefault="003258C8"/>
        </w:tc>
      </w:tr>
      <w:tr w:rsidR="003258C8" w14:paraId="36447C44" w14:textId="6DBFBCF8" w:rsidTr="003258C8">
        <w:tc>
          <w:tcPr>
            <w:tcW w:w="1166" w:type="dxa"/>
          </w:tcPr>
          <w:p w14:paraId="170529BC" w14:textId="77777777" w:rsidR="003258C8" w:rsidRDefault="003258C8"/>
        </w:tc>
        <w:tc>
          <w:tcPr>
            <w:tcW w:w="1154" w:type="dxa"/>
          </w:tcPr>
          <w:p w14:paraId="045E46DF" w14:textId="77777777" w:rsidR="003258C8" w:rsidRDefault="003258C8"/>
        </w:tc>
        <w:tc>
          <w:tcPr>
            <w:tcW w:w="986" w:type="dxa"/>
          </w:tcPr>
          <w:p w14:paraId="2FD18F43" w14:textId="77777777" w:rsidR="003258C8" w:rsidRDefault="003258C8"/>
        </w:tc>
        <w:tc>
          <w:tcPr>
            <w:tcW w:w="1320" w:type="dxa"/>
          </w:tcPr>
          <w:p w14:paraId="1571C44D" w14:textId="77777777" w:rsidR="003258C8" w:rsidRDefault="003258C8"/>
        </w:tc>
        <w:tc>
          <w:tcPr>
            <w:tcW w:w="1320" w:type="dxa"/>
          </w:tcPr>
          <w:p w14:paraId="1C15398C" w14:textId="77777777" w:rsidR="003258C8" w:rsidRDefault="003258C8"/>
        </w:tc>
        <w:tc>
          <w:tcPr>
            <w:tcW w:w="2419" w:type="dxa"/>
          </w:tcPr>
          <w:p w14:paraId="6FC16F7A" w14:textId="77777777" w:rsidR="003258C8" w:rsidRDefault="003258C8"/>
        </w:tc>
      </w:tr>
      <w:tr w:rsidR="003258C8" w14:paraId="3ABBD862" w14:textId="0DE64895" w:rsidTr="003258C8">
        <w:tc>
          <w:tcPr>
            <w:tcW w:w="1166" w:type="dxa"/>
          </w:tcPr>
          <w:p w14:paraId="5ECB43DA" w14:textId="77777777" w:rsidR="003258C8" w:rsidRDefault="003258C8"/>
        </w:tc>
        <w:tc>
          <w:tcPr>
            <w:tcW w:w="1154" w:type="dxa"/>
          </w:tcPr>
          <w:p w14:paraId="3741987E" w14:textId="77777777" w:rsidR="003258C8" w:rsidRDefault="003258C8"/>
        </w:tc>
        <w:tc>
          <w:tcPr>
            <w:tcW w:w="986" w:type="dxa"/>
          </w:tcPr>
          <w:p w14:paraId="6A83FE40" w14:textId="77777777" w:rsidR="003258C8" w:rsidRDefault="003258C8"/>
        </w:tc>
        <w:tc>
          <w:tcPr>
            <w:tcW w:w="1320" w:type="dxa"/>
          </w:tcPr>
          <w:p w14:paraId="64BDCD57" w14:textId="77777777" w:rsidR="003258C8" w:rsidRDefault="003258C8"/>
        </w:tc>
        <w:tc>
          <w:tcPr>
            <w:tcW w:w="1320" w:type="dxa"/>
          </w:tcPr>
          <w:p w14:paraId="7BCF2275" w14:textId="77777777" w:rsidR="003258C8" w:rsidRDefault="003258C8"/>
        </w:tc>
        <w:tc>
          <w:tcPr>
            <w:tcW w:w="2419" w:type="dxa"/>
          </w:tcPr>
          <w:p w14:paraId="567B3200" w14:textId="77777777" w:rsidR="003258C8" w:rsidRDefault="003258C8"/>
        </w:tc>
      </w:tr>
    </w:tbl>
    <w:p w14:paraId="0EC7A040" w14:textId="77777777" w:rsidR="00C90CCA" w:rsidRDefault="00C90CCA"/>
    <w:p w14:paraId="59984C62" w14:textId="77777777" w:rsidR="008A79F4" w:rsidRDefault="008A79F4"/>
    <w:p w14:paraId="28963D04" w14:textId="4A01C916" w:rsidR="00C90CCA" w:rsidRDefault="00C90CCA" w:rsidP="00FD17F4">
      <w:pPr>
        <w:pStyle w:val="Heading2"/>
      </w:pPr>
      <w:r>
        <w:t>HIV PREVALENCE, VIRAL LOAD SUPPRESSION AND POPULATION SIZE ESTIMATE, BY TYPOLOGY</w:t>
      </w:r>
    </w:p>
    <w:p w14:paraId="46731B38" w14:textId="77777777" w:rsidR="00BB14EA" w:rsidRPr="00106C39" w:rsidRDefault="00BB14EA" w:rsidP="00BB14EA">
      <w:r>
        <w:t>Among (</w:t>
      </w:r>
      <w:r w:rsidRPr="623517BE">
        <w:rPr>
          <w:color w:val="FF0000"/>
        </w:rPr>
        <w:t>INSERT KEY POPULATION</w:t>
      </w:r>
      <w:r>
        <w:t>) aged (</w:t>
      </w:r>
      <w:r w:rsidRPr="623517BE">
        <w:rPr>
          <w:color w:val="FF0000"/>
        </w:rPr>
        <w:t>INSERT AGE CRITERIA</w:t>
      </w:r>
      <w:r>
        <w:t xml:space="preserve">) who </w:t>
      </w:r>
      <w:r w:rsidRPr="623517BE">
        <w:rPr>
          <w:color w:val="FF0000"/>
        </w:rPr>
        <w:t>(INSERT ANY OTHER ELIGIBILITY CRITERIA)</w:t>
      </w:r>
      <w:r>
        <w:t>, (</w:t>
      </w:r>
      <w:r w:rsidRPr="623517BE">
        <w:rPr>
          <w:color w:val="FF0000"/>
        </w:rPr>
        <w:t>INSERT DESCRIPTION OF DATA (</w:t>
      </w:r>
      <w:r w:rsidRPr="623517BE">
        <w:rPr>
          <w:i/>
          <w:iCs/>
          <w:color w:val="FF0000"/>
        </w:rPr>
        <w:t xml:space="preserve">e.g., HIV prevalence was similar across survey cities. </w:t>
      </w:r>
      <w:r>
        <w:rPr>
          <w:i/>
          <w:iCs/>
          <w:color w:val="FF0000"/>
        </w:rPr>
        <w:t>Typology</w:t>
      </w:r>
      <w:r w:rsidRPr="623517BE">
        <w:rPr>
          <w:i/>
          <w:iCs/>
          <w:color w:val="FF0000"/>
        </w:rPr>
        <w:t xml:space="preserve"> 1 has an estimated HIV prevalence of XX.X% and </w:t>
      </w:r>
      <w:r>
        <w:rPr>
          <w:i/>
          <w:iCs/>
          <w:color w:val="FF0000"/>
        </w:rPr>
        <w:t>typology</w:t>
      </w:r>
      <w:r w:rsidRPr="623517BE">
        <w:rPr>
          <w:i/>
          <w:iCs/>
          <w:color w:val="FF0000"/>
        </w:rPr>
        <w:t xml:space="preserve"> 2 had an estimated HIV prevalence of XX.X%</w:t>
      </w:r>
      <w:r w:rsidRPr="623517BE">
        <w:rPr>
          <w:color w:val="FF0000"/>
        </w:rPr>
        <w:t>.)</w:t>
      </w:r>
      <w:r>
        <w:t>).</w:t>
      </w:r>
    </w:p>
    <w:p w14:paraId="48E814AD" w14:textId="77777777" w:rsidR="00BB14EA" w:rsidRDefault="00BB14EA" w:rsidP="00BB14EA">
      <w:pPr>
        <w:rPr>
          <w:sz w:val="18"/>
        </w:rPr>
      </w:pPr>
      <w:r w:rsidRPr="00AF536F">
        <w:rPr>
          <w:rFonts w:eastAsia="Arial"/>
        </w:rPr>
        <w:t xml:space="preserve">Population size estimates (PSE) for each </w:t>
      </w:r>
      <w:r>
        <w:rPr>
          <w:rFonts w:eastAsia="Arial"/>
        </w:rPr>
        <w:t>typology</w:t>
      </w:r>
      <w:r w:rsidRPr="00AF536F">
        <w:rPr>
          <w:rFonts w:eastAsia="Arial"/>
        </w:rPr>
        <w:t>, shown in the table below, were derived</w:t>
      </w:r>
      <w:r>
        <w:rPr>
          <w:rFonts w:eastAsia="Arial"/>
        </w:rPr>
        <w:t xml:space="preserve"> using</w:t>
      </w:r>
      <w:r w:rsidRPr="00AF536F">
        <w:rPr>
          <w:rFonts w:eastAsia="Arial"/>
        </w:rPr>
        <w:t xml:space="preserve"> </w:t>
      </w:r>
      <w:r>
        <w:rPr>
          <w:rFonts w:eastAsia="Arial"/>
          <w:color w:val="FF0000"/>
        </w:rPr>
        <w:t>(insert method(s))</w:t>
      </w:r>
      <w:r w:rsidRPr="00AF536F">
        <w:rPr>
          <w:sz w:val="18"/>
        </w:rPr>
        <w:t>.</w:t>
      </w:r>
      <w:r w:rsidRPr="00AF536F">
        <w:rPr>
          <w:rStyle w:val="FootnoteReference"/>
          <w:sz w:val="18"/>
        </w:rPr>
        <w:footnoteReference w:id="2"/>
      </w:r>
    </w:p>
    <w:p w14:paraId="2AD749E9" w14:textId="77777777" w:rsidR="00BB14EA" w:rsidRDefault="00BB14EA"/>
    <w:tbl>
      <w:tblPr>
        <w:tblStyle w:val="TableGrid"/>
        <w:tblW w:w="12503" w:type="dxa"/>
        <w:tblLook w:val="04A0" w:firstRow="1" w:lastRow="0" w:firstColumn="1" w:lastColumn="0" w:noHBand="0" w:noVBand="1"/>
      </w:tblPr>
      <w:tblGrid>
        <w:gridCol w:w="1634"/>
        <w:gridCol w:w="1781"/>
        <w:gridCol w:w="3404"/>
        <w:gridCol w:w="2236"/>
        <w:gridCol w:w="3448"/>
      </w:tblGrid>
      <w:tr w:rsidR="00B021A9" w:rsidRPr="00EF60DA" w14:paraId="04F8A0B7" w14:textId="77777777" w:rsidTr="00EF60DA">
        <w:trPr>
          <w:trHeight w:val="754"/>
        </w:trPr>
        <w:tc>
          <w:tcPr>
            <w:tcW w:w="1634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2984364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Typology</w:t>
            </w:r>
          </w:p>
        </w:tc>
        <w:tc>
          <w:tcPr>
            <w:tcW w:w="1781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65E3C3A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HIV Prevalence</w:t>
            </w:r>
          </w:p>
          <w:p w14:paraId="7839624C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% (95% CI)</w:t>
            </w:r>
          </w:p>
        </w:tc>
        <w:tc>
          <w:tcPr>
            <w:tcW w:w="3404" w:type="dxa"/>
            <w:tcBorders>
              <w:top w:val="single" w:sz="18" w:space="0" w:color="auto"/>
              <w:bottom w:val="single" w:sz="2" w:space="0" w:color="auto"/>
            </w:tcBorders>
          </w:tcPr>
          <w:p w14:paraId="050BBCC6" w14:textId="0F1719BA" w:rsidR="00EF60DA" w:rsidRPr="00EF60DA" w:rsidRDefault="00EF60DA" w:rsidP="00EF60DA">
            <w:pPr>
              <w:jc w:val="center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Viral Load Suppression (&lt;200 copies/ml) among all HIV-positive</w:t>
            </w:r>
          </w:p>
          <w:p w14:paraId="37D00428" w14:textId="2E55BB84" w:rsidR="00B021A9" w:rsidRPr="00EF60DA" w:rsidRDefault="00EF60DA" w:rsidP="00EF60DA">
            <w:pPr>
              <w:jc w:val="center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n (95% CI) *</w:t>
            </w:r>
          </w:p>
        </w:tc>
        <w:tc>
          <w:tcPr>
            <w:tcW w:w="2236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C7CE6A9" w14:textId="3B464E86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Viral Load Suppression</w:t>
            </w:r>
            <w:r w:rsidR="00EF60DA" w:rsidRPr="00EF60DA">
              <w:rPr>
                <w:sz w:val="18"/>
                <w:szCs w:val="18"/>
              </w:rPr>
              <w:t xml:space="preserve"> (&lt;1000 copies/ml)</w:t>
            </w:r>
            <w:r w:rsidRPr="00EF60DA">
              <w:rPr>
                <w:sz w:val="18"/>
                <w:szCs w:val="18"/>
              </w:rPr>
              <w:t xml:space="preserve"> among all HIV-positive</w:t>
            </w:r>
          </w:p>
          <w:p w14:paraId="6EA9AE58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n (95% CI) *</w:t>
            </w:r>
          </w:p>
        </w:tc>
        <w:tc>
          <w:tcPr>
            <w:tcW w:w="3448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E9254B6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 xml:space="preserve">Consensus Population Size Estimate </w:t>
            </w:r>
          </w:p>
          <w:p w14:paraId="4EC8B5F0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n (95% CI) *</w:t>
            </w:r>
          </w:p>
        </w:tc>
      </w:tr>
      <w:tr w:rsidR="00B021A9" w:rsidRPr="00EF60DA" w14:paraId="78C58325" w14:textId="77777777" w:rsidTr="00EF60DA">
        <w:trPr>
          <w:trHeight w:val="48"/>
        </w:trPr>
        <w:tc>
          <w:tcPr>
            <w:tcW w:w="1634" w:type="dxa"/>
            <w:tcBorders>
              <w:top w:val="single" w:sz="2" w:space="0" w:color="auto"/>
            </w:tcBorders>
            <w:vAlign w:val="center"/>
          </w:tcPr>
          <w:p w14:paraId="513A4EDE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  <w:highlight w:val="cyan"/>
              </w:rPr>
            </w:pPr>
            <w:r w:rsidRPr="00EF60DA">
              <w:rPr>
                <w:color w:val="FF0000"/>
                <w:sz w:val="18"/>
                <w:szCs w:val="18"/>
                <w:highlight w:val="cyan"/>
              </w:rPr>
              <w:t xml:space="preserve">FSW </w:t>
            </w:r>
          </w:p>
        </w:tc>
        <w:tc>
          <w:tcPr>
            <w:tcW w:w="1781" w:type="dxa"/>
            <w:tcBorders>
              <w:top w:val="single" w:sz="2" w:space="0" w:color="auto"/>
            </w:tcBorders>
            <w:vAlign w:val="center"/>
          </w:tcPr>
          <w:p w14:paraId="44F071F1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XX.X (XX.X–XX.X)</w:t>
            </w:r>
          </w:p>
        </w:tc>
        <w:tc>
          <w:tcPr>
            <w:tcW w:w="3404" w:type="dxa"/>
            <w:tcBorders>
              <w:top w:val="single" w:sz="2" w:space="0" w:color="auto"/>
            </w:tcBorders>
          </w:tcPr>
          <w:p w14:paraId="698B2EF2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single" w:sz="2" w:space="0" w:color="auto"/>
            </w:tcBorders>
            <w:vAlign w:val="center"/>
          </w:tcPr>
          <w:p w14:paraId="574FF57A" w14:textId="6737FA53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  <w:tc>
          <w:tcPr>
            <w:tcW w:w="3448" w:type="dxa"/>
            <w:tcBorders>
              <w:top w:val="single" w:sz="2" w:space="0" w:color="auto"/>
            </w:tcBorders>
            <w:vAlign w:val="center"/>
          </w:tcPr>
          <w:p w14:paraId="31893BBD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</w:tr>
      <w:tr w:rsidR="00B021A9" w:rsidRPr="00EF60DA" w14:paraId="14F84A1E" w14:textId="77777777" w:rsidTr="00EF60DA">
        <w:trPr>
          <w:trHeight w:val="247"/>
        </w:trPr>
        <w:tc>
          <w:tcPr>
            <w:tcW w:w="1634" w:type="dxa"/>
            <w:vAlign w:val="center"/>
          </w:tcPr>
          <w:p w14:paraId="4C451934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  <w:highlight w:val="cyan"/>
              </w:rPr>
            </w:pPr>
            <w:r w:rsidRPr="00EF60DA">
              <w:rPr>
                <w:color w:val="FF0000"/>
                <w:sz w:val="18"/>
                <w:szCs w:val="18"/>
                <w:highlight w:val="cyan"/>
              </w:rPr>
              <w:t>MSM</w:t>
            </w:r>
          </w:p>
        </w:tc>
        <w:tc>
          <w:tcPr>
            <w:tcW w:w="1781" w:type="dxa"/>
            <w:vAlign w:val="center"/>
          </w:tcPr>
          <w:p w14:paraId="11E4B5FD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XX.X (XX.X–XX.X)</w:t>
            </w:r>
          </w:p>
        </w:tc>
        <w:tc>
          <w:tcPr>
            <w:tcW w:w="3404" w:type="dxa"/>
          </w:tcPr>
          <w:p w14:paraId="1EDE336C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0E265313" w14:textId="50887ADC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  <w:tc>
          <w:tcPr>
            <w:tcW w:w="3448" w:type="dxa"/>
            <w:vAlign w:val="center"/>
          </w:tcPr>
          <w:p w14:paraId="6F4DC12A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</w:tr>
      <w:tr w:rsidR="00B021A9" w:rsidRPr="00EF60DA" w14:paraId="2DBC07C0" w14:textId="77777777" w:rsidTr="00EF60DA">
        <w:trPr>
          <w:trHeight w:val="76"/>
        </w:trPr>
        <w:tc>
          <w:tcPr>
            <w:tcW w:w="1634" w:type="dxa"/>
            <w:vAlign w:val="center"/>
          </w:tcPr>
          <w:p w14:paraId="14401D12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  <w:highlight w:val="cyan"/>
              </w:rPr>
            </w:pPr>
            <w:r w:rsidRPr="00EF60DA">
              <w:rPr>
                <w:color w:val="FF0000"/>
                <w:sz w:val="18"/>
                <w:szCs w:val="18"/>
                <w:highlight w:val="cyan"/>
              </w:rPr>
              <w:t xml:space="preserve">PWID </w:t>
            </w:r>
          </w:p>
        </w:tc>
        <w:tc>
          <w:tcPr>
            <w:tcW w:w="1781" w:type="dxa"/>
            <w:vAlign w:val="center"/>
          </w:tcPr>
          <w:p w14:paraId="7AA7E98B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  <w:tc>
          <w:tcPr>
            <w:tcW w:w="3404" w:type="dxa"/>
          </w:tcPr>
          <w:p w14:paraId="3F42CA04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16B76792" w14:textId="4B7AC0C9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  <w:tc>
          <w:tcPr>
            <w:tcW w:w="3448" w:type="dxa"/>
            <w:vAlign w:val="center"/>
          </w:tcPr>
          <w:p w14:paraId="150CF913" w14:textId="77777777" w:rsidR="00B021A9" w:rsidRPr="00EF60DA" w:rsidRDefault="00B021A9" w:rsidP="00D21B01">
            <w:pPr>
              <w:jc w:val="center"/>
              <w:rPr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</w:tr>
      <w:tr w:rsidR="00B021A9" w:rsidRPr="00EF60DA" w14:paraId="604EAEDA" w14:textId="77777777" w:rsidTr="00EF60DA">
        <w:trPr>
          <w:trHeight w:val="76"/>
        </w:trPr>
        <w:tc>
          <w:tcPr>
            <w:tcW w:w="1634" w:type="dxa"/>
            <w:vAlign w:val="center"/>
          </w:tcPr>
          <w:p w14:paraId="21820CEB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  <w:highlight w:val="cyan"/>
              </w:rPr>
            </w:pPr>
            <w:r w:rsidRPr="00EF60DA">
              <w:rPr>
                <w:color w:val="FF0000"/>
                <w:sz w:val="18"/>
                <w:szCs w:val="18"/>
                <w:highlight w:val="cyan"/>
              </w:rPr>
              <w:t xml:space="preserve">TG </w:t>
            </w:r>
          </w:p>
        </w:tc>
        <w:tc>
          <w:tcPr>
            <w:tcW w:w="1781" w:type="dxa"/>
            <w:vAlign w:val="center"/>
          </w:tcPr>
          <w:p w14:paraId="153667BE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  <w:tc>
          <w:tcPr>
            <w:tcW w:w="3404" w:type="dxa"/>
          </w:tcPr>
          <w:p w14:paraId="358E7432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6336ABBA" w14:textId="537E7655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  <w:tc>
          <w:tcPr>
            <w:tcW w:w="3448" w:type="dxa"/>
            <w:vAlign w:val="center"/>
          </w:tcPr>
          <w:p w14:paraId="4366F841" w14:textId="77777777" w:rsidR="00B021A9" w:rsidRPr="00EF60DA" w:rsidRDefault="00B021A9" w:rsidP="00D21B01">
            <w:pPr>
              <w:jc w:val="center"/>
              <w:rPr>
                <w:color w:val="FF0000"/>
                <w:sz w:val="18"/>
                <w:szCs w:val="18"/>
              </w:rPr>
            </w:pPr>
            <w:r w:rsidRPr="00EF60DA">
              <w:rPr>
                <w:color w:val="FF0000"/>
                <w:sz w:val="18"/>
                <w:szCs w:val="18"/>
              </w:rPr>
              <w:t>XXXX (XXXX–XXXX)</w:t>
            </w:r>
          </w:p>
        </w:tc>
      </w:tr>
      <w:tr w:rsidR="00EF60DA" w:rsidRPr="00EF60DA" w14:paraId="2302C73F" w14:textId="77777777" w:rsidTr="00F8696D">
        <w:trPr>
          <w:trHeight w:val="708"/>
        </w:trPr>
        <w:tc>
          <w:tcPr>
            <w:tcW w:w="12503" w:type="dxa"/>
            <w:gridSpan w:val="5"/>
            <w:tcBorders>
              <w:bottom w:val="single" w:sz="18" w:space="0" w:color="auto"/>
            </w:tcBorders>
          </w:tcPr>
          <w:p w14:paraId="4596C7D9" w14:textId="69B711C6" w:rsidR="00EF60DA" w:rsidRPr="00EF60DA" w:rsidRDefault="00EF60DA" w:rsidP="00D21B01">
            <w:pPr>
              <w:spacing w:before="100" w:beforeAutospacing="1"/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Notes:</w:t>
            </w:r>
          </w:p>
          <w:p w14:paraId="447DA3D4" w14:textId="77777777" w:rsidR="00EF60DA" w:rsidRPr="00EF60DA" w:rsidRDefault="00EF60DA" w:rsidP="00D21B01">
            <w:pPr>
              <w:rPr>
                <w:sz w:val="18"/>
                <w:szCs w:val="18"/>
              </w:rPr>
            </w:pPr>
            <w:r w:rsidRPr="00EF60DA">
              <w:rPr>
                <w:sz w:val="18"/>
                <w:szCs w:val="18"/>
              </w:rPr>
              <w:t>* CI: Confidence Interval (except for population size estimate: Credible Interval)</w:t>
            </w:r>
          </w:p>
        </w:tc>
      </w:tr>
    </w:tbl>
    <w:p w14:paraId="3A22F5BD" w14:textId="77777777" w:rsidR="00C90CCA" w:rsidRDefault="00C90CCA"/>
    <w:p w14:paraId="0B0C424B" w14:textId="77777777" w:rsidR="00122BA8" w:rsidRDefault="00122B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1E2A67" w14:textId="61977910" w:rsidR="008B681C" w:rsidRDefault="00C90CCA" w:rsidP="00FD17F4">
      <w:pPr>
        <w:pStyle w:val="Heading2"/>
      </w:pPr>
      <w:r>
        <w:lastRenderedPageBreak/>
        <w:t>AGE DISTRIBUTION, BY TYPOLOGY</w:t>
      </w:r>
    </w:p>
    <w:p w14:paraId="26E298EF" w14:textId="77777777" w:rsidR="00C90CCA" w:rsidRDefault="00C90CCA"/>
    <w:p w14:paraId="51F7D9EB" w14:textId="06D8C731" w:rsidR="00BF52A6" w:rsidRDefault="00BF52A6">
      <w:r>
        <w:t>[for PWID, present distribution by age and sex]</w:t>
      </w:r>
    </w:p>
    <w:p w14:paraId="2ED54EC7" w14:textId="1C6052BA" w:rsidR="004A6D85" w:rsidRDefault="004A6D85">
      <w:r>
        <w:t xml:space="preserve">[for TG – check data to see if </w:t>
      </w:r>
      <w:proofErr w:type="spellStart"/>
      <w:r>
        <w:t>disagg</w:t>
      </w:r>
      <w:proofErr w:type="spellEnd"/>
      <w:r>
        <w:t xml:space="preserve"> by sex would make sense]</w:t>
      </w:r>
    </w:p>
    <w:bookmarkStart w:id="0" w:name="_MON_1779608853"/>
    <w:bookmarkEnd w:id="0"/>
    <w:p w14:paraId="6DA4B746" w14:textId="4BA45E5A" w:rsidR="00BB14EA" w:rsidRDefault="00C96E35">
      <w:r>
        <w:object w:dxaOrig="5411" w:dyaOrig="2924" w14:anchorId="20944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46pt" o:ole="">
            <v:imagedata r:id="rId9" o:title=""/>
          </v:shape>
          <o:OLEObject Type="Embed" ProgID="Excel.Sheet.12" ShapeID="_x0000_i1025" DrawAspect="Content" ObjectID="_1780769172" r:id="rId10"/>
        </w:object>
      </w:r>
      <w:r w:rsidR="00BB14EA">
        <w:br w:type="page"/>
      </w:r>
    </w:p>
    <w:p w14:paraId="07238072" w14:textId="7FA984CD" w:rsidR="00FD17F4" w:rsidRDefault="00FD17F4" w:rsidP="00FD17F4">
      <w:pPr>
        <w:pStyle w:val="Heading1"/>
      </w:pPr>
      <w:r>
        <w:lastRenderedPageBreak/>
        <w:t>KEY RESULTS, BY TYPOLOGY</w:t>
      </w:r>
    </w:p>
    <w:p w14:paraId="53C2870B" w14:textId="6313BC16" w:rsidR="00C90CCA" w:rsidRDefault="00BB14EA" w:rsidP="00FD17F4">
      <w:pPr>
        <w:pStyle w:val="Heading1"/>
      </w:pPr>
      <w:r>
        <w:t>[TYPOLOGY 1 RESULTS]</w:t>
      </w:r>
    </w:p>
    <w:p w14:paraId="37B3F6B5" w14:textId="4D36487B" w:rsidR="00BB14EA" w:rsidRDefault="00BB14EA" w:rsidP="00FD17F4">
      <w:pPr>
        <w:pStyle w:val="Heading2"/>
      </w:pPr>
      <w:r>
        <w:t>HIV PREVALENCE, BY AGE</w:t>
      </w:r>
    </w:p>
    <w:p w14:paraId="70088429" w14:textId="23E9CA2C" w:rsidR="00BB14EA" w:rsidRDefault="00CC47E2">
      <w:r>
        <w:t>[graph]</w:t>
      </w:r>
    </w:p>
    <w:bookmarkStart w:id="1" w:name="_MON_1779606184"/>
    <w:bookmarkEnd w:id="1"/>
    <w:p w14:paraId="1CB83B21" w14:textId="48161128" w:rsidR="00FD17F4" w:rsidRDefault="00122BA8">
      <w:r>
        <w:object w:dxaOrig="4285" w:dyaOrig="3565" w14:anchorId="26913907">
          <v:shape id="_x0000_i1026" type="#_x0000_t75" style="width:214pt;height:178.5pt" o:ole="">
            <v:imagedata r:id="rId11" o:title=""/>
          </v:shape>
          <o:OLEObject Type="Embed" ProgID="Excel.Sheet.12" ShapeID="_x0000_i1026" DrawAspect="Content" ObjectID="_1780769173" r:id="rId12"/>
        </w:object>
      </w:r>
    </w:p>
    <w:p w14:paraId="03FD0D63" w14:textId="3512042D" w:rsidR="00BB14EA" w:rsidRDefault="00BB14EA" w:rsidP="00FD17F4">
      <w:pPr>
        <w:pStyle w:val="Heading2"/>
      </w:pPr>
      <w:r>
        <w:t>HIV VIRAL LOAD SUPPRESSION, BY AGE</w:t>
      </w:r>
    </w:p>
    <w:p w14:paraId="4BE7359D" w14:textId="52B5D8C4" w:rsidR="00BB14EA" w:rsidRDefault="00CC47E2">
      <w:r>
        <w:t>[graph]</w:t>
      </w:r>
    </w:p>
    <w:bookmarkStart w:id="2" w:name="_MON_1779606112"/>
    <w:bookmarkEnd w:id="2"/>
    <w:p w14:paraId="3886F661" w14:textId="008B2390" w:rsidR="00FD17F4" w:rsidRDefault="00B021A9">
      <w:r>
        <w:object w:dxaOrig="6874" w:dyaOrig="4086" w14:anchorId="1CA0E27D">
          <v:shape id="_x0000_i1027" type="#_x0000_t75" style="width:343.5pt;height:204pt" o:ole="">
            <v:imagedata r:id="rId13" o:title=""/>
          </v:shape>
          <o:OLEObject Type="Embed" ProgID="Excel.Sheet.12" ShapeID="_x0000_i1027" DrawAspect="Content" ObjectID="_1780769174" r:id="rId14"/>
        </w:object>
      </w:r>
    </w:p>
    <w:p w14:paraId="31777542" w14:textId="77777777" w:rsidR="00BB14EA" w:rsidRDefault="00BB14EA"/>
    <w:p w14:paraId="23641183" w14:textId="77777777" w:rsidR="00BB14EA" w:rsidRDefault="00BB14EA"/>
    <w:p w14:paraId="1270DE8C" w14:textId="77777777" w:rsidR="008831F6" w:rsidRDefault="008831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7CE6FE" w14:textId="41631D89" w:rsidR="008B681C" w:rsidRDefault="00BB14EA" w:rsidP="00FD17F4">
      <w:pPr>
        <w:pStyle w:val="Heading2"/>
      </w:pPr>
      <w:r>
        <w:lastRenderedPageBreak/>
        <w:t>PROGRESS TOWARDS UNAIDS 95-95-95 TARGETS</w:t>
      </w:r>
    </w:p>
    <w:p w14:paraId="681635FB" w14:textId="53B0EABF" w:rsidR="00B56774" w:rsidRDefault="00B56774">
      <w:r>
        <w:t>Cascade to be adjusted using VL&lt;200.</w:t>
      </w:r>
    </w:p>
    <w:p w14:paraId="4DE0C8E4" w14:textId="03E0F4A6" w:rsidR="00BB14EA" w:rsidRDefault="00CC47E2">
      <w:r>
        <w:t>[graph]</w:t>
      </w:r>
    </w:p>
    <w:p w14:paraId="008AAD03" w14:textId="0EA0943A" w:rsidR="008831F6" w:rsidRDefault="008831F6">
      <w:r>
        <w:t>Unconditional 95-95-95</w:t>
      </w:r>
    </w:p>
    <w:bookmarkStart w:id="3" w:name="_MON_1779606240"/>
    <w:bookmarkEnd w:id="3"/>
    <w:p w14:paraId="69CD54F6" w14:textId="2D3CD739" w:rsidR="008831F6" w:rsidRDefault="00122BA8">
      <w:r>
        <w:object w:dxaOrig="5614" w:dyaOrig="1763" w14:anchorId="1977CF25">
          <v:shape id="_x0000_i1028" type="#_x0000_t75" style="width:280.5pt;height:88.5pt" o:ole="">
            <v:imagedata r:id="rId15" o:title=""/>
          </v:shape>
          <o:OLEObject Type="Embed" ProgID="Excel.Sheet.12" ShapeID="_x0000_i1028" DrawAspect="Content" ObjectID="_1780769175" r:id="rId16"/>
        </w:object>
      </w:r>
    </w:p>
    <w:p w14:paraId="334129A6" w14:textId="77777777" w:rsidR="008831F6" w:rsidRDefault="008831F6"/>
    <w:p w14:paraId="0277D89E" w14:textId="1CDB2781" w:rsidR="008831F6" w:rsidRDefault="008831F6">
      <w:r>
        <w:t>Conditional 95-95-95</w:t>
      </w:r>
    </w:p>
    <w:bookmarkStart w:id="4" w:name="_MON_1779606331"/>
    <w:bookmarkEnd w:id="4"/>
    <w:p w14:paraId="4B424510" w14:textId="741C7C7E" w:rsidR="00FD17F4" w:rsidRDefault="00B56774">
      <w:r>
        <w:object w:dxaOrig="5207" w:dyaOrig="3505" w14:anchorId="70BA5061">
          <v:shape id="_x0000_i1029" type="#_x0000_t75" style="width:260.5pt;height:174.5pt" o:ole="">
            <v:imagedata r:id="rId17" o:title=""/>
          </v:shape>
          <o:OLEObject Type="Embed" ProgID="Excel.Sheet.12" ShapeID="_x0000_i1029" DrawAspect="Content" ObjectID="_1780769176" r:id="rId18"/>
        </w:object>
      </w:r>
    </w:p>
    <w:p w14:paraId="6792086F" w14:textId="0A831E4D" w:rsidR="00FD17F4" w:rsidRDefault="00FD17F4"/>
    <w:p w14:paraId="4881BC13" w14:textId="77777777" w:rsidR="00BB14EA" w:rsidRDefault="00BB14EA"/>
    <w:p w14:paraId="3F811EB8" w14:textId="425C2227" w:rsidR="00BB14EA" w:rsidRDefault="00BB14EA" w:rsidP="00FD17F4">
      <w:pPr>
        <w:pStyle w:val="Heading2"/>
      </w:pPr>
      <w:r>
        <w:t>STI PREVALENCE</w:t>
      </w:r>
    </w:p>
    <w:p w14:paraId="3AD3B779" w14:textId="77777777" w:rsidR="008831F6" w:rsidRDefault="008831F6"/>
    <w:p w14:paraId="7195FBA5" w14:textId="77777777" w:rsidR="008831F6" w:rsidRDefault="008831F6"/>
    <w:p w14:paraId="14E3E408" w14:textId="119D0992" w:rsidR="00BB14EA" w:rsidRDefault="00BB14EA" w:rsidP="00FD17F4">
      <w:pPr>
        <w:pStyle w:val="Heading2"/>
      </w:pPr>
      <w:r>
        <w:t>SYPHIL</w:t>
      </w:r>
      <w:r w:rsidR="00122BA8">
        <w:t>I</w:t>
      </w:r>
      <w:r>
        <w:t>S</w:t>
      </w:r>
    </w:p>
    <w:p w14:paraId="31BF004E" w14:textId="77777777" w:rsidR="00BB14EA" w:rsidRDefault="00BB14EA"/>
    <w:bookmarkStart w:id="5" w:name="_MON_1779607971"/>
    <w:bookmarkEnd w:id="5"/>
    <w:p w14:paraId="44F15E6F" w14:textId="40369E83" w:rsidR="00971A7F" w:rsidRDefault="00971A7F">
      <w:r>
        <w:object w:dxaOrig="6129" w:dyaOrig="1472" w14:anchorId="424B2064">
          <v:shape id="_x0000_i1030" type="#_x0000_t75" style="width:307pt;height:73.5pt" o:ole="">
            <v:imagedata r:id="rId19" o:title=""/>
          </v:shape>
          <o:OLEObject Type="Embed" ProgID="Excel.Sheet.12" ShapeID="_x0000_i1030" DrawAspect="Content" ObjectID="_1780769177" r:id="rId20"/>
        </w:object>
      </w:r>
    </w:p>
    <w:p w14:paraId="4A8D5A16" w14:textId="77777777" w:rsidR="008A79F4" w:rsidRDefault="008A79F4"/>
    <w:p w14:paraId="296252AB" w14:textId="609A0FE6" w:rsidR="00BB14EA" w:rsidRDefault="00BB14EA" w:rsidP="00FD17F4">
      <w:pPr>
        <w:pStyle w:val="Heading2"/>
      </w:pPr>
      <w:r>
        <w:t>HEPATITIS B</w:t>
      </w:r>
    </w:p>
    <w:p w14:paraId="358B9D3E" w14:textId="323D05E0" w:rsidR="00831BE2" w:rsidRDefault="00831BE2">
      <w:r>
        <w:t>Add hep c if results are available in time</w:t>
      </w:r>
    </w:p>
    <w:p w14:paraId="4D0CB24E" w14:textId="6CCDFDB9" w:rsidR="00BB14EA" w:rsidRDefault="00871285">
      <w:r>
        <w:t xml:space="preserve">[describe how many </w:t>
      </w:r>
      <w:r w:rsidR="00986FAA">
        <w:t xml:space="preserve">were tested, sampling approach </w:t>
      </w:r>
      <w:proofErr w:type="spellStart"/>
      <w:r w:rsidR="00986FAA">
        <w:t>etc</w:t>
      </w:r>
      <w:proofErr w:type="spellEnd"/>
      <w:r w:rsidR="00986FAA">
        <w:t>]</w:t>
      </w:r>
    </w:p>
    <w:bookmarkStart w:id="6" w:name="_MON_1779608300"/>
    <w:bookmarkEnd w:id="6"/>
    <w:p w14:paraId="66BCD5C1" w14:textId="2BCE338E" w:rsidR="00971A7F" w:rsidRDefault="00971A7F">
      <w:r>
        <w:object w:dxaOrig="5166" w:dyaOrig="1181" w14:anchorId="79C26C97">
          <v:shape id="_x0000_i1031" type="#_x0000_t75" style="width:259pt;height:59pt" o:ole="">
            <v:imagedata r:id="rId21" o:title=""/>
          </v:shape>
          <o:OLEObject Type="Embed" ProgID="Excel.Sheet.12" ShapeID="_x0000_i1031" DrawAspect="Content" ObjectID="_1780769178" r:id="rId22"/>
        </w:object>
      </w:r>
    </w:p>
    <w:p w14:paraId="4459EE54" w14:textId="498C9E02" w:rsidR="00BB14EA" w:rsidRDefault="00BB14EA" w:rsidP="00FD17F4">
      <w:pPr>
        <w:pStyle w:val="Heading2"/>
      </w:pPr>
      <w:r>
        <w:t>CHLAMYDIA TRACHOMATAS</w:t>
      </w:r>
    </w:p>
    <w:p w14:paraId="52C6DD6D" w14:textId="77777777" w:rsidR="00BB14EA" w:rsidRDefault="00BB14EA"/>
    <w:bookmarkStart w:id="7" w:name="_MON_1779608466"/>
    <w:bookmarkEnd w:id="7"/>
    <w:p w14:paraId="5FF5A6DF" w14:textId="20BD3843" w:rsidR="00122BA8" w:rsidRDefault="00122BA8">
      <w:r>
        <w:object w:dxaOrig="5166" w:dyaOrig="1181" w14:anchorId="6E0FA62E">
          <v:shape id="_x0000_i1032" type="#_x0000_t75" style="width:259pt;height:59pt" o:ole="">
            <v:imagedata r:id="rId23" o:title=""/>
          </v:shape>
          <o:OLEObject Type="Embed" ProgID="Excel.Sheet.12" ShapeID="_x0000_i1032" DrawAspect="Content" ObjectID="_1780769179" r:id="rId24"/>
        </w:object>
      </w:r>
    </w:p>
    <w:p w14:paraId="7EDB3161" w14:textId="24648010" w:rsidR="00BB14EA" w:rsidRDefault="00BB14EA" w:rsidP="00FD17F4">
      <w:pPr>
        <w:pStyle w:val="Heading2"/>
      </w:pPr>
      <w:r>
        <w:t>NISSERIA GONORRHOEA</w:t>
      </w:r>
    </w:p>
    <w:p w14:paraId="75925C72" w14:textId="77777777" w:rsidR="00BB14EA" w:rsidRDefault="00BB14EA"/>
    <w:bookmarkStart w:id="8" w:name="_MON_1779608482"/>
    <w:bookmarkEnd w:id="8"/>
    <w:p w14:paraId="3BCC3E2C" w14:textId="29E407B1" w:rsidR="00122BA8" w:rsidRDefault="00122BA8">
      <w:r>
        <w:object w:dxaOrig="5166" w:dyaOrig="1181" w14:anchorId="2579F5E1">
          <v:shape id="_x0000_i1033" type="#_x0000_t75" style="width:259pt;height:59pt" o:ole="">
            <v:imagedata r:id="rId25" o:title=""/>
          </v:shape>
          <o:OLEObject Type="Embed" ProgID="Excel.Sheet.12" ShapeID="_x0000_i1033" DrawAspect="Content" ObjectID="_1780769180" r:id="rId26"/>
        </w:object>
      </w:r>
    </w:p>
    <w:p w14:paraId="6B153E07" w14:textId="1B7560CF" w:rsidR="00BB14EA" w:rsidRDefault="00BB14EA" w:rsidP="00FD17F4">
      <w:pPr>
        <w:pStyle w:val="Heading2"/>
      </w:pPr>
      <w:r>
        <w:t>PREVENTION SERVICES</w:t>
      </w:r>
    </w:p>
    <w:p w14:paraId="4DBFFDC3" w14:textId="77777777" w:rsidR="00BB14EA" w:rsidRDefault="00BB14EA"/>
    <w:p w14:paraId="44A7DF17" w14:textId="05506EBA" w:rsidR="00BB14EA" w:rsidRDefault="00FD17F4" w:rsidP="008831F6">
      <w:pPr>
        <w:pStyle w:val="Heading3"/>
      </w:pPr>
      <w:r>
        <w:t>LINKAGE TO SERVICES</w:t>
      </w:r>
    </w:p>
    <w:p w14:paraId="39503F27" w14:textId="58FF5FA2" w:rsidR="00FE1106" w:rsidRDefault="00FE1106" w:rsidP="00FE1106">
      <w:r>
        <w:t>Last 12 months, last 3 months</w:t>
      </w:r>
    </w:p>
    <w:p w14:paraId="43CEF03A" w14:textId="45362E6F" w:rsidR="002C123E" w:rsidRPr="00FE1106" w:rsidRDefault="00D04F39" w:rsidP="00FE1106">
      <w:r>
        <w:t xml:space="preserve">Define linkage as “either accessed services at a facility OR at </w:t>
      </w:r>
      <w:r w:rsidR="009A0A64">
        <w:t>peer”</w:t>
      </w:r>
    </w:p>
    <w:p w14:paraId="1BE3BB17" w14:textId="77777777" w:rsidR="00FD17F4" w:rsidRDefault="00FD17F4"/>
    <w:p w14:paraId="7508E0CB" w14:textId="75722D45" w:rsidR="0058732B" w:rsidRDefault="0058732B" w:rsidP="00A40DA7">
      <w:pPr>
        <w:pStyle w:val="Heading3"/>
      </w:pPr>
      <w:r>
        <w:t>Time since last HIV test</w:t>
      </w:r>
    </w:p>
    <w:p w14:paraId="7C4650CF" w14:textId="77777777" w:rsidR="0058732B" w:rsidRPr="0058732B" w:rsidRDefault="0058732B" w:rsidP="0058732B"/>
    <w:p w14:paraId="6137031E" w14:textId="1E6B8D54" w:rsidR="00FD17F4" w:rsidRPr="00A40DA7" w:rsidRDefault="00FD17F4" w:rsidP="00A40DA7">
      <w:pPr>
        <w:pStyle w:val="Heading3"/>
      </w:pPr>
      <w:proofErr w:type="spellStart"/>
      <w:r w:rsidRPr="00A40DA7">
        <w:t>PrEP</w:t>
      </w:r>
      <w:proofErr w:type="spellEnd"/>
      <w:r w:rsidRPr="00A40DA7">
        <w:t xml:space="preserve"> KNOWLEDGE, HISTORY OF </w:t>
      </w:r>
      <w:proofErr w:type="spellStart"/>
      <w:r w:rsidRPr="00A40DA7">
        <w:t>PrEP</w:t>
      </w:r>
      <w:proofErr w:type="spellEnd"/>
      <w:r w:rsidRPr="00A40DA7">
        <w:t xml:space="preserve"> USE, </w:t>
      </w:r>
      <w:proofErr w:type="spellStart"/>
      <w:r w:rsidRPr="00A40DA7">
        <w:t>PrEP</w:t>
      </w:r>
      <w:proofErr w:type="spellEnd"/>
      <w:r w:rsidRPr="00A40DA7">
        <w:t xml:space="preserve"> U</w:t>
      </w:r>
      <w:r w:rsidR="00364BEF">
        <w:t>se in the past 6 months</w:t>
      </w:r>
    </w:p>
    <w:p w14:paraId="18889D47" w14:textId="77777777" w:rsidR="006B052E" w:rsidRDefault="006B052E" w:rsidP="00DF1A4A">
      <w:pPr>
        <w:pStyle w:val="Heading2"/>
      </w:pPr>
    </w:p>
    <w:p w14:paraId="5E3AE4CA" w14:textId="648ECD3C" w:rsidR="00A156C2" w:rsidRDefault="00DE6070" w:rsidP="00A15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Comment from </w:t>
      </w:r>
      <w:proofErr w:type="spellStart"/>
      <w:r>
        <w:rPr>
          <w:rFonts w:eastAsia="Times New Roman"/>
        </w:rPr>
        <w:t>Soloh</w:t>
      </w:r>
      <w:proofErr w:type="spellEnd"/>
      <w:r>
        <w:rPr>
          <w:rFonts w:eastAsia="Times New Roman"/>
        </w:rPr>
        <w:t xml:space="preserve"> - </w:t>
      </w:r>
      <w:r w:rsidR="00A156C2">
        <w:rPr>
          <w:rFonts w:eastAsia="Times New Roman"/>
        </w:rPr>
        <w:t xml:space="preserve">Under </w:t>
      </w:r>
      <w:proofErr w:type="spellStart"/>
      <w:r w:rsidR="00A156C2">
        <w:rPr>
          <w:rFonts w:eastAsia="Times New Roman"/>
        </w:rPr>
        <w:t>PrEP</w:t>
      </w:r>
      <w:proofErr w:type="spellEnd"/>
      <w:r w:rsidR="00A156C2">
        <w:rPr>
          <w:rFonts w:eastAsia="Times New Roman"/>
        </w:rPr>
        <w:t xml:space="preserve">, is there a need for putting </w:t>
      </w:r>
      <w:proofErr w:type="spellStart"/>
      <w:r w:rsidR="00A156C2">
        <w:rPr>
          <w:rFonts w:eastAsia="Times New Roman"/>
        </w:rPr>
        <w:t>PrEP</w:t>
      </w:r>
      <w:proofErr w:type="spellEnd"/>
      <w:r w:rsidR="00A156C2">
        <w:rPr>
          <w:rFonts w:eastAsia="Times New Roman"/>
        </w:rPr>
        <w:t xml:space="preserve"> Access in the counties?-Can be discussed</w:t>
      </w:r>
    </w:p>
    <w:p w14:paraId="3611A6DB" w14:textId="77777777" w:rsidR="00A156C2" w:rsidRPr="00A156C2" w:rsidRDefault="00A156C2" w:rsidP="00A156C2"/>
    <w:p w14:paraId="4B771963" w14:textId="33106F3F" w:rsidR="000D3355" w:rsidRDefault="000D3355" w:rsidP="00A40DA7">
      <w:pPr>
        <w:pStyle w:val="Heading3"/>
      </w:pPr>
      <w:r>
        <w:lastRenderedPageBreak/>
        <w:t>Condom use – access condoms for free in past 12 months; ease of access to condoms</w:t>
      </w:r>
    </w:p>
    <w:p w14:paraId="0836E2F7" w14:textId="77777777" w:rsidR="002C4A83" w:rsidRPr="002C4A83" w:rsidRDefault="002C4A83" w:rsidP="002C4A83"/>
    <w:p w14:paraId="51E2B476" w14:textId="7F26481C" w:rsidR="00DF1A4A" w:rsidRDefault="00DF1A4A" w:rsidP="00A40DA7">
      <w:pPr>
        <w:pStyle w:val="Heading3"/>
      </w:pPr>
      <w:r>
        <w:t xml:space="preserve">[PWID ONLY] Access to </w:t>
      </w:r>
      <w:r w:rsidR="00E269AE">
        <w:t>needle exchange (NSP)</w:t>
      </w:r>
      <w:r w:rsidR="005C2AB9">
        <w:t>, OAT</w:t>
      </w:r>
    </w:p>
    <w:p w14:paraId="004C9746" w14:textId="77777777" w:rsidR="00122BA8" w:rsidRDefault="00122BA8"/>
    <w:p w14:paraId="388C5038" w14:textId="77777777" w:rsidR="004D0C22" w:rsidRDefault="00C21ED0" w:rsidP="00A40DA7">
      <w:pPr>
        <w:pStyle w:val="Heading3"/>
      </w:pPr>
      <w:r>
        <w:t xml:space="preserve">Stigma and discrimination </w:t>
      </w:r>
    </w:p>
    <w:p w14:paraId="1A0FB9B8" w14:textId="77777777" w:rsidR="00475C37" w:rsidRDefault="00475C37" w:rsidP="004D0C22">
      <w:pPr>
        <w:pStyle w:val="Heading2"/>
      </w:pPr>
    </w:p>
    <w:p w14:paraId="3A10679B" w14:textId="15A946D9" w:rsidR="004D0C22" w:rsidRDefault="004D0C22" w:rsidP="00A40DA7">
      <w:pPr>
        <w:pStyle w:val="Heading4"/>
      </w:pPr>
      <w:r>
        <w:t>Experienced stigma and/or discrimination in the past 6 months</w:t>
      </w:r>
    </w:p>
    <w:p w14:paraId="3B4FC5CB" w14:textId="77777777" w:rsidR="004D0C22" w:rsidRDefault="004D0C22" w:rsidP="00A40DA7">
      <w:pPr>
        <w:pStyle w:val="Heading4"/>
      </w:pPr>
    </w:p>
    <w:p w14:paraId="5693B104" w14:textId="72807A85" w:rsidR="004D0C22" w:rsidRPr="004D0C22" w:rsidRDefault="00475C37" w:rsidP="00A40DA7">
      <w:pPr>
        <w:pStyle w:val="Heading4"/>
      </w:pPr>
      <w:r w:rsidRPr="00E360D5">
        <w:t>Avoided healthcare because of stigma and/or discrimination in the past 12 months</w:t>
      </w:r>
    </w:p>
    <w:p w14:paraId="39F4CD91" w14:textId="54B1801A" w:rsidR="00FD17F4" w:rsidRDefault="00FD17F4" w:rsidP="004D0C22">
      <w:pPr>
        <w:pStyle w:val="Heading3"/>
      </w:pPr>
      <w:r>
        <w:br/>
      </w:r>
    </w:p>
    <w:p w14:paraId="7C0E5642" w14:textId="77777777" w:rsidR="00FD17F4" w:rsidRDefault="00FD17F4">
      <w:r>
        <w:br w:type="page"/>
      </w:r>
    </w:p>
    <w:p w14:paraId="2CC94B64" w14:textId="5E2A6FF3" w:rsidR="00FD17F4" w:rsidRDefault="00FD17F4" w:rsidP="00FD17F4">
      <w:pPr>
        <w:pStyle w:val="Heading1"/>
      </w:pPr>
      <w:r>
        <w:lastRenderedPageBreak/>
        <w:t xml:space="preserve">[TYPOLOGY </w:t>
      </w:r>
      <w:r w:rsidR="00EB3A20">
        <w:t>2</w:t>
      </w:r>
      <w:r>
        <w:t xml:space="preserve"> RESULTS]</w:t>
      </w:r>
    </w:p>
    <w:p w14:paraId="36BFD062" w14:textId="77777777" w:rsidR="00FD17F4" w:rsidRDefault="00FD17F4"/>
    <w:p w14:paraId="51A4EC7C" w14:textId="77777777" w:rsidR="00FD17F4" w:rsidRDefault="00FD17F4"/>
    <w:p w14:paraId="415E07E8" w14:textId="6491BAAF" w:rsidR="00FD17F4" w:rsidRDefault="00FD17F4" w:rsidP="00FD17F4">
      <w:pPr>
        <w:pStyle w:val="Heading1"/>
      </w:pPr>
      <w:r>
        <w:t xml:space="preserve">[TYPOLOGY </w:t>
      </w:r>
      <w:r w:rsidR="00EB3A20">
        <w:t>3</w:t>
      </w:r>
      <w:r>
        <w:t xml:space="preserve"> RESULTS]</w:t>
      </w:r>
    </w:p>
    <w:p w14:paraId="25D811E0" w14:textId="77777777" w:rsidR="00FD17F4" w:rsidRDefault="00FD17F4"/>
    <w:p w14:paraId="44B67950" w14:textId="77777777" w:rsidR="00FD17F4" w:rsidRDefault="00FD17F4"/>
    <w:p w14:paraId="4F621B2F" w14:textId="1A110BD6" w:rsidR="00FD17F4" w:rsidRDefault="00FD17F4" w:rsidP="00FD17F4">
      <w:pPr>
        <w:pStyle w:val="Heading1"/>
      </w:pPr>
      <w:r>
        <w:t xml:space="preserve">[TYPOLOGY </w:t>
      </w:r>
      <w:r w:rsidR="00EB3A20">
        <w:t>4</w:t>
      </w:r>
      <w:r>
        <w:t xml:space="preserve"> RESULTS]</w:t>
      </w:r>
    </w:p>
    <w:p w14:paraId="4B1B12F8" w14:textId="77777777" w:rsidR="00FD17F4" w:rsidRDefault="00FD17F4"/>
    <w:p w14:paraId="4A2DE8F2" w14:textId="77777777" w:rsidR="00FD17F4" w:rsidRDefault="00FD17F4"/>
    <w:p w14:paraId="018E242F" w14:textId="7E60A108" w:rsidR="00FD17F4" w:rsidRDefault="00FD17F4" w:rsidP="00FD17F4">
      <w:pPr>
        <w:pStyle w:val="Heading1"/>
      </w:pPr>
      <w:r>
        <w:t>CONCLUSIONS</w:t>
      </w:r>
    </w:p>
    <w:p w14:paraId="1E47923F" w14:textId="77777777" w:rsidR="00BB14EA" w:rsidRDefault="00BB14EA"/>
    <w:p w14:paraId="494AF6FF" w14:textId="77777777" w:rsidR="00BB14EA" w:rsidRDefault="00BB14EA"/>
    <w:p w14:paraId="7EAA6E4F" w14:textId="77777777" w:rsidR="00BB14EA" w:rsidRDefault="00BB14EA"/>
    <w:p w14:paraId="009E3F1C" w14:textId="77777777" w:rsidR="00BB14EA" w:rsidRDefault="00BB14EA"/>
    <w:p w14:paraId="63846368" w14:textId="61EBA78B" w:rsidR="008B681C" w:rsidRDefault="00DF21ED">
      <w:r>
        <w:t xml:space="preserve">[COUNTY-SPECIFIC UNIQUE </w:t>
      </w:r>
      <w:r w:rsidR="00DE7D98">
        <w:t>IMPLEMENTATION EXPERIENCES]</w:t>
      </w:r>
    </w:p>
    <w:sectPr w:rsidR="008B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7D5B" w14:textId="77777777" w:rsidR="00270DE0" w:rsidRDefault="00270DE0" w:rsidP="00BB14EA">
      <w:pPr>
        <w:spacing w:after="0" w:line="240" w:lineRule="auto"/>
      </w:pPr>
      <w:r>
        <w:separator/>
      </w:r>
    </w:p>
  </w:endnote>
  <w:endnote w:type="continuationSeparator" w:id="0">
    <w:p w14:paraId="6A85983A" w14:textId="77777777" w:rsidR="00270DE0" w:rsidRDefault="00270DE0" w:rsidP="00BB14EA">
      <w:pPr>
        <w:spacing w:after="0" w:line="240" w:lineRule="auto"/>
      </w:pPr>
      <w:r>
        <w:continuationSeparator/>
      </w:r>
    </w:p>
  </w:endnote>
  <w:endnote w:type="continuationNotice" w:id="1">
    <w:p w14:paraId="55D6BA0D" w14:textId="77777777" w:rsidR="00270DE0" w:rsidRDefault="00270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80D0" w14:textId="77777777" w:rsidR="00270DE0" w:rsidRDefault="00270DE0" w:rsidP="00BB14EA">
      <w:pPr>
        <w:spacing w:after="0" w:line="240" w:lineRule="auto"/>
      </w:pPr>
      <w:r>
        <w:separator/>
      </w:r>
    </w:p>
  </w:footnote>
  <w:footnote w:type="continuationSeparator" w:id="0">
    <w:p w14:paraId="1BCBBABE" w14:textId="77777777" w:rsidR="00270DE0" w:rsidRDefault="00270DE0" w:rsidP="00BB14EA">
      <w:pPr>
        <w:spacing w:after="0" w:line="240" w:lineRule="auto"/>
      </w:pPr>
      <w:r>
        <w:continuationSeparator/>
      </w:r>
    </w:p>
  </w:footnote>
  <w:footnote w:type="continuationNotice" w:id="1">
    <w:p w14:paraId="1A118193" w14:textId="77777777" w:rsidR="00270DE0" w:rsidRDefault="00270DE0">
      <w:pPr>
        <w:spacing w:after="0" w:line="240" w:lineRule="auto"/>
      </w:pPr>
    </w:p>
  </w:footnote>
  <w:footnote w:id="2">
    <w:p w14:paraId="0A6E08D1" w14:textId="6A5B9BA4" w:rsidR="00BB14EA" w:rsidRPr="00E02D08" w:rsidRDefault="00BB14EA" w:rsidP="00BB14EA">
      <w:pPr>
        <w:pStyle w:val="FootnoteText"/>
        <w:rPr>
          <w:color w:val="FF000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62B"/>
    <w:multiLevelType w:val="hybridMultilevel"/>
    <w:tmpl w:val="A4EA3644"/>
    <w:lvl w:ilvl="0" w:tplc="60F41058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29D63C9"/>
    <w:multiLevelType w:val="hybridMultilevel"/>
    <w:tmpl w:val="E4868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D1766"/>
    <w:multiLevelType w:val="multilevel"/>
    <w:tmpl w:val="938A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47581"/>
    <w:multiLevelType w:val="hybridMultilevel"/>
    <w:tmpl w:val="A4EA3644"/>
    <w:lvl w:ilvl="0" w:tplc="60F41058">
      <w:start w:val="1"/>
      <w:numFmt w:val="decimal"/>
      <w:lvlText w:val="(%1)"/>
      <w:lvlJc w:val="left"/>
      <w:pPr>
        <w:ind w:left="63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58652857">
    <w:abstractNumId w:val="3"/>
  </w:num>
  <w:num w:numId="2" w16cid:durableId="186334266">
    <w:abstractNumId w:val="0"/>
  </w:num>
  <w:num w:numId="3" w16cid:durableId="983512590">
    <w:abstractNumId w:val="1"/>
  </w:num>
  <w:num w:numId="4" w16cid:durableId="4235004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C"/>
    <w:rsid w:val="00045860"/>
    <w:rsid w:val="0005673B"/>
    <w:rsid w:val="00071113"/>
    <w:rsid w:val="0007140A"/>
    <w:rsid w:val="00073B4E"/>
    <w:rsid w:val="00073B6F"/>
    <w:rsid w:val="000A0907"/>
    <w:rsid w:val="000C7672"/>
    <w:rsid w:val="000D1913"/>
    <w:rsid w:val="000D3355"/>
    <w:rsid w:val="000D36DE"/>
    <w:rsid w:val="000D444E"/>
    <w:rsid w:val="001014D6"/>
    <w:rsid w:val="001070AD"/>
    <w:rsid w:val="00111E63"/>
    <w:rsid w:val="00122BA8"/>
    <w:rsid w:val="00124E1A"/>
    <w:rsid w:val="00155AE5"/>
    <w:rsid w:val="00156CF3"/>
    <w:rsid w:val="001658B6"/>
    <w:rsid w:val="00167E6F"/>
    <w:rsid w:val="00176846"/>
    <w:rsid w:val="00182045"/>
    <w:rsid w:val="00182AC2"/>
    <w:rsid w:val="00184812"/>
    <w:rsid w:val="001904EA"/>
    <w:rsid w:val="001A207D"/>
    <w:rsid w:val="001B1DD2"/>
    <w:rsid w:val="001B2480"/>
    <w:rsid w:val="001B3D41"/>
    <w:rsid w:val="001C5B6E"/>
    <w:rsid w:val="001E2DDF"/>
    <w:rsid w:val="001F4295"/>
    <w:rsid w:val="002219A9"/>
    <w:rsid w:val="0025621D"/>
    <w:rsid w:val="00270DE0"/>
    <w:rsid w:val="00271B40"/>
    <w:rsid w:val="00286ECD"/>
    <w:rsid w:val="002938C3"/>
    <w:rsid w:val="002A56CE"/>
    <w:rsid w:val="002C123E"/>
    <w:rsid w:val="002C4A83"/>
    <w:rsid w:val="002C5A56"/>
    <w:rsid w:val="002C6BD5"/>
    <w:rsid w:val="00304B40"/>
    <w:rsid w:val="003258C8"/>
    <w:rsid w:val="00355AA9"/>
    <w:rsid w:val="00356BE6"/>
    <w:rsid w:val="00364A51"/>
    <w:rsid w:val="00364BEF"/>
    <w:rsid w:val="00372B7B"/>
    <w:rsid w:val="00381876"/>
    <w:rsid w:val="0039753E"/>
    <w:rsid w:val="003A2398"/>
    <w:rsid w:val="003E19B8"/>
    <w:rsid w:val="00407658"/>
    <w:rsid w:val="00416560"/>
    <w:rsid w:val="0042335A"/>
    <w:rsid w:val="00442D82"/>
    <w:rsid w:val="0044667A"/>
    <w:rsid w:val="004706FA"/>
    <w:rsid w:val="00475278"/>
    <w:rsid w:val="00475C37"/>
    <w:rsid w:val="00482504"/>
    <w:rsid w:val="004837A0"/>
    <w:rsid w:val="00497643"/>
    <w:rsid w:val="004A3833"/>
    <w:rsid w:val="004A6D85"/>
    <w:rsid w:val="004D0C22"/>
    <w:rsid w:val="004D1072"/>
    <w:rsid w:val="004F361E"/>
    <w:rsid w:val="004F461A"/>
    <w:rsid w:val="00513A3C"/>
    <w:rsid w:val="00521592"/>
    <w:rsid w:val="00582787"/>
    <w:rsid w:val="0058732B"/>
    <w:rsid w:val="005A107A"/>
    <w:rsid w:val="005C2AB9"/>
    <w:rsid w:val="005C6E17"/>
    <w:rsid w:val="005D6D3D"/>
    <w:rsid w:val="005F358F"/>
    <w:rsid w:val="005F5764"/>
    <w:rsid w:val="00600DF6"/>
    <w:rsid w:val="0062417E"/>
    <w:rsid w:val="006450F5"/>
    <w:rsid w:val="00691AEA"/>
    <w:rsid w:val="006979CF"/>
    <w:rsid w:val="006A14F9"/>
    <w:rsid w:val="006B052E"/>
    <w:rsid w:val="006B7BB3"/>
    <w:rsid w:val="006F7F3F"/>
    <w:rsid w:val="007101BA"/>
    <w:rsid w:val="00722543"/>
    <w:rsid w:val="00741DFD"/>
    <w:rsid w:val="00753F0A"/>
    <w:rsid w:val="0076168C"/>
    <w:rsid w:val="00767AE4"/>
    <w:rsid w:val="0077556A"/>
    <w:rsid w:val="007963D7"/>
    <w:rsid w:val="007968B1"/>
    <w:rsid w:val="007C4394"/>
    <w:rsid w:val="007D4B73"/>
    <w:rsid w:val="007E4FB0"/>
    <w:rsid w:val="00810CF6"/>
    <w:rsid w:val="00813EF5"/>
    <w:rsid w:val="00814713"/>
    <w:rsid w:val="00821654"/>
    <w:rsid w:val="00830D84"/>
    <w:rsid w:val="00831BE2"/>
    <w:rsid w:val="00871285"/>
    <w:rsid w:val="00872743"/>
    <w:rsid w:val="00882258"/>
    <w:rsid w:val="008831F6"/>
    <w:rsid w:val="00891376"/>
    <w:rsid w:val="008A3189"/>
    <w:rsid w:val="008A79F4"/>
    <w:rsid w:val="008B681C"/>
    <w:rsid w:val="008C353F"/>
    <w:rsid w:val="008D73BA"/>
    <w:rsid w:val="008E3703"/>
    <w:rsid w:val="008F7002"/>
    <w:rsid w:val="0090318B"/>
    <w:rsid w:val="009142F4"/>
    <w:rsid w:val="0092260F"/>
    <w:rsid w:val="0094503C"/>
    <w:rsid w:val="00946C0B"/>
    <w:rsid w:val="009507D6"/>
    <w:rsid w:val="00957B97"/>
    <w:rsid w:val="00962354"/>
    <w:rsid w:val="00963F59"/>
    <w:rsid w:val="00971A7F"/>
    <w:rsid w:val="00982372"/>
    <w:rsid w:val="00986FAA"/>
    <w:rsid w:val="009A0A64"/>
    <w:rsid w:val="009B72C0"/>
    <w:rsid w:val="009D3789"/>
    <w:rsid w:val="009D629C"/>
    <w:rsid w:val="00A156C2"/>
    <w:rsid w:val="00A252BD"/>
    <w:rsid w:val="00A32D4B"/>
    <w:rsid w:val="00A40DA7"/>
    <w:rsid w:val="00A56B58"/>
    <w:rsid w:val="00A60E8B"/>
    <w:rsid w:val="00A619A7"/>
    <w:rsid w:val="00AA509F"/>
    <w:rsid w:val="00AA7F83"/>
    <w:rsid w:val="00AC2FB9"/>
    <w:rsid w:val="00AC5642"/>
    <w:rsid w:val="00AE012B"/>
    <w:rsid w:val="00B021A9"/>
    <w:rsid w:val="00B06BFB"/>
    <w:rsid w:val="00B31126"/>
    <w:rsid w:val="00B367A3"/>
    <w:rsid w:val="00B45569"/>
    <w:rsid w:val="00B46F06"/>
    <w:rsid w:val="00B56774"/>
    <w:rsid w:val="00B62187"/>
    <w:rsid w:val="00B645C7"/>
    <w:rsid w:val="00B66565"/>
    <w:rsid w:val="00B73BC9"/>
    <w:rsid w:val="00BA59AC"/>
    <w:rsid w:val="00BA7B9D"/>
    <w:rsid w:val="00BB0CFB"/>
    <w:rsid w:val="00BB10E6"/>
    <w:rsid w:val="00BB14EA"/>
    <w:rsid w:val="00BB3E90"/>
    <w:rsid w:val="00BC2D55"/>
    <w:rsid w:val="00BC4A45"/>
    <w:rsid w:val="00BD6384"/>
    <w:rsid w:val="00BE38D8"/>
    <w:rsid w:val="00BE71DC"/>
    <w:rsid w:val="00BF44AE"/>
    <w:rsid w:val="00BF52A6"/>
    <w:rsid w:val="00C0254A"/>
    <w:rsid w:val="00C0276E"/>
    <w:rsid w:val="00C21ED0"/>
    <w:rsid w:val="00C3737E"/>
    <w:rsid w:val="00C42EF5"/>
    <w:rsid w:val="00C54827"/>
    <w:rsid w:val="00C6393B"/>
    <w:rsid w:val="00C64EB5"/>
    <w:rsid w:val="00C77FF5"/>
    <w:rsid w:val="00C90CCA"/>
    <w:rsid w:val="00C9392C"/>
    <w:rsid w:val="00C96E35"/>
    <w:rsid w:val="00CC47E2"/>
    <w:rsid w:val="00D04F39"/>
    <w:rsid w:val="00D13083"/>
    <w:rsid w:val="00D277FD"/>
    <w:rsid w:val="00D402C3"/>
    <w:rsid w:val="00D42DFA"/>
    <w:rsid w:val="00D55605"/>
    <w:rsid w:val="00D82DA5"/>
    <w:rsid w:val="00DB45BB"/>
    <w:rsid w:val="00DD53C3"/>
    <w:rsid w:val="00DE4133"/>
    <w:rsid w:val="00DE6070"/>
    <w:rsid w:val="00DE7D98"/>
    <w:rsid w:val="00DF1A4A"/>
    <w:rsid w:val="00DF21ED"/>
    <w:rsid w:val="00DF3375"/>
    <w:rsid w:val="00DF44CD"/>
    <w:rsid w:val="00DF7B03"/>
    <w:rsid w:val="00E03A7A"/>
    <w:rsid w:val="00E176B6"/>
    <w:rsid w:val="00E20F86"/>
    <w:rsid w:val="00E269AE"/>
    <w:rsid w:val="00E55D13"/>
    <w:rsid w:val="00E61BA9"/>
    <w:rsid w:val="00E66277"/>
    <w:rsid w:val="00E9652C"/>
    <w:rsid w:val="00EA4391"/>
    <w:rsid w:val="00EA645C"/>
    <w:rsid w:val="00EB3A20"/>
    <w:rsid w:val="00EB6D70"/>
    <w:rsid w:val="00EC08E5"/>
    <w:rsid w:val="00EC2800"/>
    <w:rsid w:val="00EC2C5C"/>
    <w:rsid w:val="00EE3924"/>
    <w:rsid w:val="00EE460F"/>
    <w:rsid w:val="00EE4BE2"/>
    <w:rsid w:val="00EF60DA"/>
    <w:rsid w:val="00F121EF"/>
    <w:rsid w:val="00F1486B"/>
    <w:rsid w:val="00F20E25"/>
    <w:rsid w:val="00F27BEB"/>
    <w:rsid w:val="00F37B75"/>
    <w:rsid w:val="00F55B52"/>
    <w:rsid w:val="00F60D79"/>
    <w:rsid w:val="00F671B7"/>
    <w:rsid w:val="00F8497E"/>
    <w:rsid w:val="00F87FB1"/>
    <w:rsid w:val="00FA467D"/>
    <w:rsid w:val="00FA5925"/>
    <w:rsid w:val="00FB7C35"/>
    <w:rsid w:val="00FD17F4"/>
    <w:rsid w:val="00FD7543"/>
    <w:rsid w:val="00FE1106"/>
    <w:rsid w:val="00FF47F7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A40"/>
  <w15:chartTrackingRefBased/>
  <w15:docId w15:val="{99547312-84B1-49DC-BBD1-E15E8B4A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0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0CCA"/>
    <w:pPr>
      <w:spacing w:before="200" w:after="20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0CCA"/>
    <w:rPr>
      <w:rFonts w:eastAsiaTheme="minorEastAsia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B14EA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4EA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4EA"/>
    <w:pPr>
      <w:spacing w:before="200"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BB14E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1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aliases w:val="List Square"/>
    <w:basedOn w:val="Normal"/>
    <w:link w:val="ListParagraphChar"/>
    <w:uiPriority w:val="34"/>
    <w:qFormat/>
    <w:rsid w:val="006B7BB3"/>
    <w:pPr>
      <w:spacing w:after="0" w:line="240" w:lineRule="auto"/>
      <w:ind w:left="720"/>
      <w:contextualSpacing/>
    </w:pPr>
    <w:rPr>
      <w:rFonts w:ascii="Arial" w:eastAsia="Times New Roman" w:hAnsi="Arial" w:cs="Times New Roman"/>
      <w:kern w:val="0"/>
      <w:sz w:val="24"/>
      <w:szCs w:val="24"/>
      <w:lang w:val="en-GB" w:eastAsia="en-GB"/>
      <w14:ligatures w14:val="none"/>
    </w:rPr>
  </w:style>
  <w:style w:type="character" w:customStyle="1" w:styleId="ListParagraphChar">
    <w:name w:val="List Paragraph Char"/>
    <w:aliases w:val="List Square Char"/>
    <w:link w:val="ListParagraph"/>
    <w:uiPriority w:val="34"/>
    <w:locked/>
    <w:rsid w:val="006B7BB3"/>
    <w:rPr>
      <w:rFonts w:ascii="Arial" w:eastAsia="Times New Roman" w:hAnsi="Arial" w:cs="Times New Roman"/>
      <w:kern w:val="0"/>
      <w:sz w:val="24"/>
      <w:szCs w:val="24"/>
      <w:lang w:val="en-GB" w:eastAsia="en-GB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AE012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AE012B"/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B3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7A3"/>
  </w:style>
  <w:style w:type="paragraph" w:styleId="Footer">
    <w:name w:val="footer"/>
    <w:basedOn w:val="Normal"/>
    <w:link w:val="FooterChar"/>
    <w:uiPriority w:val="99"/>
    <w:semiHidden/>
    <w:unhideWhenUsed/>
    <w:rsid w:val="00B3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7A3"/>
  </w:style>
  <w:style w:type="character" w:customStyle="1" w:styleId="Heading4Char">
    <w:name w:val="Heading 4 Char"/>
    <w:basedOn w:val="DefaultParagraphFont"/>
    <w:link w:val="Heading4"/>
    <w:uiPriority w:val="9"/>
    <w:rsid w:val="00A40D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4.xlsx"/><Relationship Id="rId26" Type="http://schemas.openxmlformats.org/officeDocument/2006/relationships/package" Target="embeddings/Microsoft_Excel_Worksheet8.xls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3.xlsx"/><Relationship Id="rId20" Type="http://schemas.openxmlformats.org/officeDocument/2006/relationships/package" Target="embeddings/Microsoft_Excel_Worksheet5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Excel_Worksheet7.xls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Relationship Id="rId22" Type="http://schemas.openxmlformats.org/officeDocument/2006/relationships/package" Target="embeddings/Microsoft_Excel_Worksheet6.xls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0D9FD3D0158449C17557DF815B522" ma:contentTypeVersion="24" ma:contentTypeDescription="Create a new document." ma:contentTypeScope="" ma:versionID="93c7433ddae356dc8c545e73b0c986a8">
  <xsd:schema xmlns:xsd="http://www.w3.org/2001/XMLSchema" xmlns:xs="http://www.w3.org/2001/XMLSchema" xmlns:p="http://schemas.microsoft.com/office/2006/metadata/properties" xmlns:ns1="http://schemas.microsoft.com/sharepoint/v3" xmlns:ns2="2e253612-0b24-45f2-8a3c-bc9491069ed1" xmlns:ns3="6e492b69-49de-4d29-a60d-656cde406c99" targetNamespace="http://schemas.microsoft.com/office/2006/metadata/properties" ma:root="true" ma:fieldsID="176a17824ccda38a3e4a00d345e7701e" ns1:_="" ns2:_="" ns3:_="">
    <xsd:import namespace="http://schemas.microsoft.com/sharepoint/v3"/>
    <xsd:import namespace="2e253612-0b24-45f2-8a3c-bc9491069ed1"/>
    <xsd:import namespace="6e492b69-49de-4d29-a60d-656cde406c9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53612-0b24-45f2-8a3c-bc9491069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2b69-49de-4d29-a60d-656cde406c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e966a7b-2820-4200-9a1a-03e7e370fb6f}" ma:internalName="TaxCatchAll" ma:showField="CatchAllData" ma:web="6e492b69-49de-4d29-a60d-656cde406c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884B2-131E-49F1-AA2F-618DADB89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e253612-0b24-45f2-8a3c-bc9491069ed1"/>
    <ds:schemaRef ds:uri="6e492b69-49de-4d29-a60d-656cde406c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E95F5-AA11-419C-BC42-9E44FC39C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Jonnalagadda, Sasi (CDC/GHC/DGHT)</dc:creator>
  <cp:keywords/>
  <dc:description/>
  <cp:lastModifiedBy>Jonnalagadda, Sasi (CDC/GHC/DGHT)</cp:lastModifiedBy>
  <cp:revision>206</cp:revision>
  <dcterms:created xsi:type="dcterms:W3CDTF">2024-06-11T06:39:00Z</dcterms:created>
  <dcterms:modified xsi:type="dcterms:W3CDTF">2024-06-24T18:16:00Z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2024-06-11T08:05:48Z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4ac8c6b4-55f4-429e-af1b-bea5e16788d8</vt:lpwstr>
  </property>
  <property fmtid="{D5CDD505-2E9C-101B-9397-08002B2CF9AE}" pid="8" name="MSIP_Label_7b94a7b8-f06c-4dfe-bdcc-9b548fd58c31_ContentBits">
    <vt:lpwstr>0</vt:lpwstr>
  </property>
</Properties>
</file>