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we outline how to approach dataset labelling.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original study’s labels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original study, labellers were asked to compare s</w:t>
      </w:r>
      <w:r w:rsidDel="00000000" w:rsidR="00000000" w:rsidRPr="00000000">
        <w:rPr>
          <w:rtl w:val="0"/>
        </w:rPr>
        <w:t xml:space="preserve">cenarios in terms of “pleasantness for the person in the scenario.” They were asked to rank sentences from the usual perspective of a typical person from the 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new labels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pair of sentences our new system will give two labels.  A sentence ranking classification label (5 options), and a matching sentence classification label (2 options). The details are as follows: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 ranking classifications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perspective typical person from US, consider the pleasantness of each sentence in the pair for the person in the scenarios, and select one of the following labels: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Sentence 1 is clearly more pleasant (&gt;80% typical people from US would agree with each other)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Sentence 1 is probably more pleasant but is debatable (60-80% of typical people from US would agree with each other)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It is unclear which of the scenarios is more pleasant (40-60% of typical people from US would agree with each other)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Sentence 2 is probably more pleasant but is debatable (60-80% of typical people from US would agree with each other)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Sentence 2 is clearly more pleasant (&gt;80% typical people from US would agree with each other)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sentence classifications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Examine the pair of sentences, and specify whether the sentences are adapted versions of the same base scenario (matching) or totally unrelated scenarios (non-matching)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Matching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Not matching</w:t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